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3F5F" w14:textId="5150F2C1" w:rsidR="002975E8" w:rsidRDefault="002975E8" w:rsidP="002975E8">
      <w:pPr>
        <w:pStyle w:val="Heading1"/>
        <w:rPr>
          <w:rFonts w:ascii="Arial" w:hAnsi="Arial" w:cs="Arial"/>
        </w:rPr>
      </w:pPr>
      <w:r>
        <w:rPr>
          <w:rFonts w:ascii="Arial" w:hAnsi="Arial" w:cs="Arial"/>
          <w:noProof/>
        </w:rPr>
        <w:drawing>
          <wp:anchor distT="0" distB="0" distL="114300" distR="114300" simplePos="0" relativeHeight="251659264" behindDoc="0" locked="0" layoutInCell="1" allowOverlap="1" wp14:anchorId="297DA4B7" wp14:editId="3D4ADD82">
            <wp:simplePos x="0" y="0"/>
            <wp:positionH relativeFrom="column">
              <wp:posOffset>1533525</wp:posOffset>
            </wp:positionH>
            <wp:positionV relativeFrom="page">
              <wp:posOffset>1616710</wp:posOffset>
            </wp:positionV>
            <wp:extent cx="2409825" cy="149860"/>
            <wp:effectExtent l="0" t="0" r="9525" b="2540"/>
            <wp:wrapTopAndBottom/>
            <wp:docPr id="1927375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75200" name="Picture 1927375200"/>
                    <pic:cNvPicPr/>
                  </pic:nvPicPr>
                  <pic:blipFill>
                    <a:blip r:embed="rId8"/>
                    <a:stretch>
                      <a:fillRect/>
                    </a:stretch>
                  </pic:blipFill>
                  <pic:spPr>
                    <a:xfrm>
                      <a:off x="0" y="0"/>
                      <a:ext cx="2409825" cy="1498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7728" behindDoc="1" locked="0" layoutInCell="1" allowOverlap="1" wp14:anchorId="4F8175DE" wp14:editId="3D59C8CB">
            <wp:simplePos x="0" y="0"/>
            <wp:positionH relativeFrom="column">
              <wp:posOffset>1409700</wp:posOffset>
            </wp:positionH>
            <wp:positionV relativeFrom="page">
              <wp:posOffset>609600</wp:posOffset>
            </wp:positionV>
            <wp:extent cx="2371725" cy="1053465"/>
            <wp:effectExtent l="0" t="0" r="0" b="0"/>
            <wp:wrapTopAndBottom/>
            <wp:docPr id="1741315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5142" name="Picture 1741315142"/>
                    <pic:cNvPicPr/>
                  </pic:nvPicPr>
                  <pic:blipFill>
                    <a:blip r:embed="rId9"/>
                    <a:stretch>
                      <a:fillRect/>
                    </a:stretch>
                  </pic:blipFill>
                  <pic:spPr>
                    <a:xfrm>
                      <a:off x="0" y="0"/>
                      <a:ext cx="2371725" cy="1053465"/>
                    </a:xfrm>
                    <a:prstGeom prst="rect">
                      <a:avLst/>
                    </a:prstGeom>
                  </pic:spPr>
                </pic:pic>
              </a:graphicData>
            </a:graphic>
          </wp:anchor>
        </w:drawing>
      </w:r>
    </w:p>
    <w:p w14:paraId="3B941F58" w14:textId="77777777" w:rsidR="00293870" w:rsidRPr="00293870" w:rsidRDefault="00293870" w:rsidP="00293870">
      <w:pPr>
        <w:spacing w:before="100" w:beforeAutospacing="1" w:after="100" w:afterAutospacing="1" w:line="240" w:lineRule="auto"/>
        <w:jc w:val="center"/>
        <w:outlineLvl w:val="0"/>
        <w:rPr>
          <w:rFonts w:ascii="Arial" w:eastAsia="Times New Roman" w:hAnsi="Arial" w:cs="Arial"/>
          <w:b/>
          <w:bCs/>
          <w:kern w:val="36"/>
          <w:sz w:val="48"/>
          <w:szCs w:val="48"/>
        </w:rPr>
      </w:pPr>
      <w:r w:rsidRPr="00293870">
        <w:rPr>
          <w:rFonts w:ascii="Arial" w:eastAsia="Times New Roman" w:hAnsi="Arial" w:cs="Arial"/>
          <w:b/>
          <w:bCs/>
          <w:kern w:val="36"/>
          <w:sz w:val="48"/>
          <w:szCs w:val="48"/>
        </w:rPr>
        <w:t>PUBLIC NOTICE</w:t>
      </w:r>
    </w:p>
    <w:p w14:paraId="3C833E92" w14:textId="77777777" w:rsidR="00293870" w:rsidRPr="00293870" w:rsidRDefault="00293870" w:rsidP="00293870">
      <w:pPr>
        <w:spacing w:before="100" w:beforeAutospacing="1" w:after="100" w:afterAutospacing="1" w:line="240" w:lineRule="auto"/>
        <w:jc w:val="center"/>
        <w:outlineLvl w:val="1"/>
        <w:rPr>
          <w:rFonts w:ascii="Arial" w:eastAsia="Times New Roman" w:hAnsi="Arial" w:cs="Arial"/>
          <w:b/>
          <w:bCs/>
          <w:sz w:val="36"/>
          <w:szCs w:val="36"/>
        </w:rPr>
      </w:pPr>
      <w:r w:rsidRPr="00293870">
        <w:rPr>
          <w:rFonts w:ascii="Arial" w:eastAsia="Times New Roman" w:hAnsi="Arial" w:cs="Arial"/>
          <w:b/>
          <w:bCs/>
          <w:sz w:val="36"/>
          <w:szCs w:val="36"/>
        </w:rPr>
        <w:t>CareerSource Okaloosa Walton</w:t>
      </w:r>
    </w:p>
    <w:p w14:paraId="12044B72" w14:textId="77777777" w:rsidR="00293870" w:rsidRPr="00293870" w:rsidRDefault="00293870" w:rsidP="00293870">
      <w:pPr>
        <w:spacing w:before="100" w:beforeAutospacing="1" w:after="100" w:afterAutospacing="1" w:line="240" w:lineRule="auto"/>
        <w:jc w:val="center"/>
        <w:outlineLvl w:val="2"/>
        <w:rPr>
          <w:rFonts w:ascii="Arial" w:eastAsia="Times New Roman" w:hAnsi="Arial" w:cs="Arial"/>
          <w:b/>
          <w:bCs/>
          <w:sz w:val="27"/>
          <w:szCs w:val="27"/>
        </w:rPr>
      </w:pPr>
      <w:r w:rsidRPr="00293870">
        <w:rPr>
          <w:rFonts w:ascii="Arial" w:eastAsia="Times New Roman" w:hAnsi="Arial" w:cs="Arial"/>
          <w:b/>
          <w:bCs/>
          <w:sz w:val="27"/>
          <w:szCs w:val="27"/>
        </w:rPr>
        <w:t>Intent to Request Continued Designation as a</w:t>
      </w:r>
    </w:p>
    <w:p w14:paraId="49CF172D" w14:textId="77777777" w:rsidR="00293870" w:rsidRPr="00293870" w:rsidRDefault="00293870" w:rsidP="00293870">
      <w:pPr>
        <w:spacing w:before="100" w:beforeAutospacing="1" w:after="100" w:afterAutospacing="1" w:line="240" w:lineRule="auto"/>
        <w:jc w:val="center"/>
        <w:outlineLvl w:val="2"/>
        <w:rPr>
          <w:rFonts w:ascii="Arial" w:eastAsia="Times New Roman" w:hAnsi="Arial" w:cs="Arial"/>
          <w:b/>
          <w:bCs/>
          <w:sz w:val="27"/>
          <w:szCs w:val="27"/>
        </w:rPr>
      </w:pPr>
      <w:r w:rsidRPr="00293870">
        <w:rPr>
          <w:rFonts w:ascii="Arial" w:eastAsia="Times New Roman" w:hAnsi="Arial" w:cs="Arial"/>
          <w:b/>
          <w:bCs/>
          <w:sz w:val="27"/>
          <w:szCs w:val="27"/>
        </w:rPr>
        <w:t>Direct Provider of Workforce Services</w:t>
      </w:r>
    </w:p>
    <w:p w14:paraId="28B8ED1F" w14:textId="23E68893" w:rsidR="00293870" w:rsidRPr="00293870" w:rsidRDefault="003D1C8E" w:rsidP="00293870">
      <w:pPr>
        <w:spacing w:before="100" w:beforeAutospacing="1" w:after="100" w:afterAutospacing="1" w:line="240" w:lineRule="auto"/>
        <w:jc w:val="center"/>
        <w:outlineLvl w:val="2"/>
        <w:rPr>
          <w:rFonts w:ascii="Arial" w:eastAsia="Times New Roman" w:hAnsi="Arial" w:cs="Arial"/>
          <w:b/>
          <w:bCs/>
          <w:sz w:val="27"/>
          <w:szCs w:val="27"/>
        </w:rPr>
      </w:pPr>
      <w:r>
        <w:rPr>
          <w:rFonts w:ascii="Arial" w:eastAsia="Times New Roman" w:hAnsi="Arial" w:cs="Arial"/>
          <w:b/>
          <w:bCs/>
          <w:sz w:val="27"/>
          <w:szCs w:val="27"/>
        </w:rPr>
        <w:t>Workforce Innovation and Opportunity Act (WIOA)</w:t>
      </w:r>
    </w:p>
    <w:p w14:paraId="596D7495" w14:textId="09217268" w:rsidR="00293870" w:rsidRPr="00293870" w:rsidRDefault="00293870" w:rsidP="00293870">
      <w:pPr>
        <w:spacing w:before="100" w:beforeAutospacing="1" w:after="100" w:afterAutospacing="1" w:line="240" w:lineRule="auto"/>
        <w:jc w:val="center"/>
        <w:rPr>
          <w:rFonts w:ascii="Arial" w:eastAsia="Times New Roman" w:hAnsi="Arial" w:cs="Arial"/>
          <w:sz w:val="24"/>
          <w:szCs w:val="24"/>
        </w:rPr>
      </w:pPr>
      <w:r w:rsidRPr="00293870">
        <w:rPr>
          <w:rFonts w:ascii="Arial" w:eastAsia="Times New Roman" w:hAnsi="Arial" w:cs="Arial"/>
          <w:sz w:val="24"/>
          <w:szCs w:val="24"/>
        </w:rPr>
        <w:t>Date of Posting:</w:t>
      </w:r>
      <w:r>
        <w:rPr>
          <w:rFonts w:ascii="Arial" w:eastAsia="Times New Roman" w:hAnsi="Arial" w:cs="Arial"/>
          <w:sz w:val="24"/>
          <w:szCs w:val="24"/>
        </w:rPr>
        <w:t xml:space="preserve"> February 26, 2026</w:t>
      </w:r>
      <w:r w:rsidRPr="00293870">
        <w:rPr>
          <w:rFonts w:ascii="Arial" w:eastAsia="Times New Roman" w:hAnsi="Arial" w:cs="Arial"/>
          <w:sz w:val="24"/>
          <w:szCs w:val="24"/>
        </w:rPr>
        <w:br/>
        <w:t xml:space="preserve">Public Comment Period Ends: </w:t>
      </w:r>
      <w:r>
        <w:rPr>
          <w:rFonts w:ascii="Arial" w:eastAsia="Times New Roman" w:hAnsi="Arial" w:cs="Arial"/>
          <w:sz w:val="24"/>
          <w:szCs w:val="24"/>
        </w:rPr>
        <w:t>March 28, 2026</w:t>
      </w:r>
    </w:p>
    <w:p w14:paraId="7C86F85F" w14:textId="77777777" w:rsidR="003D1C8E" w:rsidRDefault="003D1C8E">
      <w:pPr>
        <w:rPr>
          <w:rFonts w:ascii="Arial" w:hAnsi="Arial" w:cs="Arial"/>
        </w:rPr>
      </w:pPr>
    </w:p>
    <w:p w14:paraId="69F55E2E" w14:textId="77777777" w:rsidR="003D1C8E" w:rsidRDefault="003D1C8E">
      <w:pPr>
        <w:rPr>
          <w:rFonts w:ascii="Arial" w:hAnsi="Arial" w:cs="Arial"/>
        </w:rPr>
      </w:pPr>
    </w:p>
    <w:p w14:paraId="5F966F15" w14:textId="77777777" w:rsidR="003D1C8E" w:rsidRDefault="003D1C8E">
      <w:pPr>
        <w:rPr>
          <w:rFonts w:ascii="Arial" w:hAnsi="Arial" w:cs="Arial"/>
        </w:rPr>
      </w:pPr>
    </w:p>
    <w:p w14:paraId="3FEC5F57" w14:textId="77777777" w:rsidR="003D1C8E" w:rsidRDefault="003D1C8E">
      <w:pPr>
        <w:rPr>
          <w:rFonts w:ascii="Arial" w:hAnsi="Arial" w:cs="Arial"/>
        </w:rPr>
      </w:pPr>
    </w:p>
    <w:p w14:paraId="5F9A8D74" w14:textId="77777777" w:rsidR="003D1C8E" w:rsidRDefault="003D1C8E">
      <w:pPr>
        <w:rPr>
          <w:rFonts w:ascii="Arial" w:hAnsi="Arial" w:cs="Arial"/>
        </w:rPr>
      </w:pPr>
    </w:p>
    <w:p w14:paraId="531EC7CA" w14:textId="77777777" w:rsidR="003D1C8E" w:rsidRDefault="003D1C8E">
      <w:pPr>
        <w:rPr>
          <w:rFonts w:ascii="Arial" w:hAnsi="Arial" w:cs="Arial"/>
        </w:rPr>
      </w:pPr>
    </w:p>
    <w:p w14:paraId="56ADF006" w14:textId="77777777" w:rsidR="003D1C8E" w:rsidRDefault="003D1C8E">
      <w:pPr>
        <w:rPr>
          <w:rFonts w:ascii="Arial" w:hAnsi="Arial" w:cs="Arial"/>
        </w:rPr>
      </w:pPr>
    </w:p>
    <w:p w14:paraId="02AC9D39" w14:textId="77777777" w:rsidR="003D1C8E" w:rsidRDefault="003D1C8E">
      <w:pPr>
        <w:rPr>
          <w:rFonts w:ascii="Arial" w:hAnsi="Arial" w:cs="Arial"/>
        </w:rPr>
      </w:pPr>
    </w:p>
    <w:p w14:paraId="08BC1467" w14:textId="77777777" w:rsidR="003D1C8E" w:rsidRPr="00171831" w:rsidRDefault="003D1C8E" w:rsidP="003D1C8E">
      <w:pPr>
        <w:pStyle w:val="Heading2"/>
        <w:rPr>
          <w:rFonts w:ascii="Arial" w:hAnsi="Arial" w:cs="Arial"/>
        </w:rPr>
      </w:pPr>
      <w:r w:rsidRPr="00171831">
        <w:rPr>
          <w:rFonts w:ascii="Arial" w:hAnsi="Arial" w:cs="Arial"/>
        </w:rPr>
        <w:t>Accessibility Statement</w:t>
      </w:r>
    </w:p>
    <w:p w14:paraId="32677B6D" w14:textId="77777777" w:rsidR="003D1C8E" w:rsidRPr="00171831" w:rsidRDefault="003D1C8E" w:rsidP="003D1C8E">
      <w:pPr>
        <w:rPr>
          <w:rFonts w:ascii="Arial" w:hAnsi="Arial" w:cs="Arial"/>
        </w:rPr>
      </w:pPr>
      <w:r w:rsidRPr="00171831">
        <w:rPr>
          <w:rFonts w:ascii="Arial" w:hAnsi="Arial" w:cs="Arial"/>
        </w:rPr>
        <w:t xml:space="preserve">CareerSource Okaloosa Walton is an equal opportunity employer/program. Auxiliary aids and services are available upon request to individuals with disabilities. All voice telephone numbers may be reached by </w:t>
      </w:r>
      <w:proofErr w:type="gramStart"/>
      <w:r w:rsidRPr="00171831">
        <w:rPr>
          <w:rFonts w:ascii="Arial" w:hAnsi="Arial" w:cs="Arial"/>
        </w:rPr>
        <w:t>persons</w:t>
      </w:r>
      <w:proofErr w:type="gramEnd"/>
      <w:r w:rsidRPr="00171831">
        <w:rPr>
          <w:rFonts w:ascii="Arial" w:hAnsi="Arial" w:cs="Arial"/>
        </w:rPr>
        <w:t xml:space="preserve"> using TTY/TDD equipment via the Florida Relay Service at 711.</w:t>
      </w:r>
    </w:p>
    <w:p w14:paraId="47FC2A64" w14:textId="77777777" w:rsidR="003D1C8E" w:rsidRDefault="003D1C8E">
      <w:pPr>
        <w:rPr>
          <w:rFonts w:ascii="Arial" w:hAnsi="Arial" w:cs="Arial"/>
        </w:rPr>
      </w:pPr>
    </w:p>
    <w:p w14:paraId="55F79A09" w14:textId="014390B7" w:rsidR="003D1C8E" w:rsidRPr="00171831" w:rsidRDefault="003D1C8E" w:rsidP="003D1C8E">
      <w:pPr>
        <w:pStyle w:val="Heading2"/>
        <w:rPr>
          <w:rFonts w:ascii="Arial" w:hAnsi="Arial" w:cs="Arial"/>
          <w:color w:val="auto"/>
        </w:rPr>
      </w:pPr>
      <w:r w:rsidRPr="00171831">
        <w:rPr>
          <w:rFonts w:ascii="Arial" w:hAnsi="Arial" w:cs="Arial"/>
          <w:color w:val="auto"/>
        </w:rPr>
        <w:lastRenderedPageBreak/>
        <w:t>Public Notice</w:t>
      </w:r>
    </w:p>
    <w:p w14:paraId="16DD3658" w14:textId="77777777" w:rsidR="003D1C8E" w:rsidRPr="00171831" w:rsidRDefault="003D1C8E" w:rsidP="003D1C8E">
      <w:pPr>
        <w:rPr>
          <w:rFonts w:ascii="Arial" w:hAnsi="Arial" w:cs="Arial"/>
        </w:rPr>
      </w:pPr>
      <w:r w:rsidRPr="00171831">
        <w:rPr>
          <w:rFonts w:ascii="Arial" w:hAnsi="Arial" w:cs="Arial"/>
        </w:rPr>
        <w:t>In accordance with 20 CFR 679.410(c)(2), CareerSource Okaloosa Walton (CSOW) hereby provides public notice of its intent to request continued designation as a Direct Provider of Workforce Services under the Workforce Innovation and Opportunity Act (WIOA).</w:t>
      </w:r>
    </w:p>
    <w:p w14:paraId="3F7A9719" w14:textId="77777777" w:rsidR="003D1C8E" w:rsidRPr="00171831" w:rsidRDefault="003D1C8E" w:rsidP="003D1C8E">
      <w:pPr>
        <w:rPr>
          <w:rFonts w:ascii="Arial" w:hAnsi="Arial" w:cs="Arial"/>
        </w:rPr>
      </w:pPr>
      <w:r w:rsidRPr="00171831">
        <w:rPr>
          <w:rFonts w:ascii="Arial" w:hAnsi="Arial" w:cs="Arial"/>
        </w:rPr>
        <w:t>CSOW has operated as a Direct Provider since July 1, 2008. This designation allows the Local Workforce Development Board to directly administer and deliver workforce services funded through WIOA Title I (Adult, Dislocated Worker, and Youth) and Wagner-Peyser programs.</w:t>
      </w:r>
    </w:p>
    <w:p w14:paraId="5D037EB6" w14:textId="77777777" w:rsidR="003D1C8E" w:rsidRPr="00171831" w:rsidRDefault="003D1C8E" w:rsidP="003D1C8E">
      <w:pPr>
        <w:rPr>
          <w:rFonts w:ascii="Arial" w:hAnsi="Arial" w:cs="Arial"/>
        </w:rPr>
      </w:pPr>
      <w:r w:rsidRPr="00171831">
        <w:rPr>
          <w:rFonts w:ascii="Arial" w:hAnsi="Arial" w:cs="Arial"/>
        </w:rPr>
        <w:t>The Direct Provider model enables CareerSource Okaloosa Walton to reduce administrative costs, maintain direct oversight of workforce programs, and reinvest savings into training, work-based learning, and employer engagement initiatives serving Okaloosa and Walton Counties.</w:t>
      </w:r>
    </w:p>
    <w:p w14:paraId="6A20E3C8" w14:textId="77777777" w:rsidR="003D1C8E" w:rsidRPr="00171831" w:rsidRDefault="003D1C8E" w:rsidP="003D1C8E">
      <w:pPr>
        <w:pStyle w:val="Heading2"/>
        <w:rPr>
          <w:rFonts w:ascii="Arial" w:hAnsi="Arial" w:cs="Arial"/>
          <w:color w:val="auto"/>
        </w:rPr>
      </w:pPr>
      <w:r w:rsidRPr="00171831">
        <w:rPr>
          <w:rFonts w:ascii="Arial" w:hAnsi="Arial" w:cs="Arial"/>
          <w:color w:val="auto"/>
        </w:rPr>
        <w:t>Summary of Key Highlights</w:t>
      </w:r>
    </w:p>
    <w:p w14:paraId="0ACF5D6E" w14:textId="327B17D4" w:rsidR="003D1C8E" w:rsidRPr="00171831" w:rsidRDefault="003D1C8E" w:rsidP="003D1C8E">
      <w:pPr>
        <w:rPr>
          <w:rFonts w:ascii="Arial" w:hAnsi="Arial" w:cs="Arial"/>
        </w:rPr>
      </w:pPr>
      <w:r w:rsidRPr="00171831">
        <w:rPr>
          <w:rFonts w:ascii="Arial" w:hAnsi="Arial" w:cs="Arial"/>
        </w:rPr>
        <w:t>• Approximately $250,000 in annual cost savings through elimination of duplicative administrative layers</w:t>
      </w:r>
      <w:r w:rsidRPr="00171831">
        <w:rPr>
          <w:rFonts w:ascii="Arial" w:hAnsi="Arial" w:cs="Arial"/>
        </w:rPr>
        <w:br/>
        <w:t xml:space="preserve">• </w:t>
      </w:r>
      <w:r>
        <w:rPr>
          <w:rFonts w:ascii="Arial" w:hAnsi="Arial" w:cs="Arial"/>
        </w:rPr>
        <w:t>94</w:t>
      </w:r>
      <w:r w:rsidRPr="00171831">
        <w:rPr>
          <w:rFonts w:ascii="Arial" w:hAnsi="Arial" w:cs="Arial"/>
        </w:rPr>
        <w:t>% of federal performance measures met or exceeded in Program Year 2024–2025</w:t>
      </w:r>
      <w:r w:rsidRPr="00171831">
        <w:rPr>
          <w:rFonts w:ascii="Arial" w:hAnsi="Arial" w:cs="Arial"/>
        </w:rPr>
        <w:br/>
        <w:t>• 100% performance in key Dislocated Worker employment and credential measures</w:t>
      </w:r>
      <w:r w:rsidRPr="00171831">
        <w:rPr>
          <w:rFonts w:ascii="Arial" w:hAnsi="Arial" w:cs="Arial"/>
        </w:rPr>
        <w:br/>
        <w:t>• Median wages exceeded negotiated goals across all populations served</w:t>
      </w:r>
      <w:r w:rsidRPr="00171831">
        <w:rPr>
          <w:rFonts w:ascii="Arial" w:hAnsi="Arial" w:cs="Arial"/>
        </w:rPr>
        <w:br/>
        <w:t>• Achieved an A grade under Florida’s REACH Act</w:t>
      </w:r>
      <w:r w:rsidRPr="00171831">
        <w:rPr>
          <w:rFonts w:ascii="Arial" w:hAnsi="Arial" w:cs="Arial"/>
        </w:rPr>
        <w:br/>
        <w:t>• Ranked 7th out of 21 workforce boards statewide</w:t>
      </w:r>
    </w:p>
    <w:p w14:paraId="503FFC68" w14:textId="77777777" w:rsidR="003D1C8E" w:rsidRPr="00171831" w:rsidRDefault="003D1C8E" w:rsidP="003D1C8E">
      <w:pPr>
        <w:pStyle w:val="Heading2"/>
        <w:rPr>
          <w:rFonts w:ascii="Arial" w:hAnsi="Arial" w:cs="Arial"/>
          <w:color w:val="auto"/>
        </w:rPr>
      </w:pPr>
      <w:r w:rsidRPr="00171831">
        <w:rPr>
          <w:rFonts w:ascii="Arial" w:hAnsi="Arial" w:cs="Arial"/>
          <w:color w:val="auto"/>
        </w:rPr>
        <w:t>Public Comment Instructions</w:t>
      </w:r>
    </w:p>
    <w:p w14:paraId="41C30B81" w14:textId="77777777" w:rsidR="003D1C8E" w:rsidRPr="00171831" w:rsidRDefault="003D1C8E" w:rsidP="003D1C8E">
      <w:pPr>
        <w:rPr>
          <w:rFonts w:ascii="Arial" w:hAnsi="Arial" w:cs="Arial"/>
        </w:rPr>
      </w:pPr>
      <w:r w:rsidRPr="00171831">
        <w:rPr>
          <w:rFonts w:ascii="Arial" w:hAnsi="Arial" w:cs="Arial"/>
        </w:rPr>
        <w:t>The proposed request for continued Direct Provider designation will be available for public review for a minimum of 30 days from the date of posting listed above.</w:t>
      </w:r>
    </w:p>
    <w:p w14:paraId="729D3904" w14:textId="77777777" w:rsidR="003D1C8E" w:rsidRPr="00171831" w:rsidRDefault="003D1C8E" w:rsidP="003D1C8E">
      <w:pPr>
        <w:rPr>
          <w:rFonts w:ascii="Arial" w:hAnsi="Arial" w:cs="Arial"/>
        </w:rPr>
      </w:pPr>
      <w:r w:rsidRPr="00171831">
        <w:rPr>
          <w:rFonts w:ascii="Arial" w:hAnsi="Arial" w:cs="Arial"/>
        </w:rPr>
        <w:t>Members of the public are invited to submit written comments during this period. Comments must be received no later than the Public Comment Period End Date listed above.</w:t>
      </w:r>
    </w:p>
    <w:p w14:paraId="14A1308A" w14:textId="77777777" w:rsidR="003D1C8E" w:rsidRPr="00171831" w:rsidRDefault="003D1C8E" w:rsidP="003D1C8E">
      <w:pPr>
        <w:rPr>
          <w:rFonts w:ascii="Arial" w:hAnsi="Arial" w:cs="Arial"/>
        </w:rPr>
      </w:pPr>
      <w:r w:rsidRPr="00171831">
        <w:rPr>
          <w:rFonts w:ascii="Arial" w:hAnsi="Arial" w:cs="Arial"/>
        </w:rPr>
        <w:t>Written comments may be submitted to:</w:t>
      </w:r>
    </w:p>
    <w:p w14:paraId="3CEA3736" w14:textId="77777777" w:rsidR="003D1C8E" w:rsidRDefault="003D1C8E" w:rsidP="003D1C8E">
      <w:pPr>
        <w:spacing w:before="100" w:beforeAutospacing="1" w:after="100" w:afterAutospacing="1" w:line="240" w:lineRule="auto"/>
        <w:rPr>
          <w:rFonts w:ascii="Arial" w:eastAsia="Times New Roman" w:hAnsi="Arial" w:cs="Arial"/>
        </w:rPr>
      </w:pPr>
      <w:r w:rsidRPr="00293870">
        <w:rPr>
          <w:rFonts w:ascii="Arial" w:eastAsia="Times New Roman" w:hAnsi="Arial" w:cs="Arial"/>
        </w:rPr>
        <w:t>CareerSource Okaloosa Walton</w:t>
      </w:r>
      <w:r w:rsidRPr="00293870">
        <w:rPr>
          <w:rFonts w:ascii="Arial" w:eastAsia="Times New Roman" w:hAnsi="Arial" w:cs="Arial"/>
        </w:rPr>
        <w:br/>
        <w:t>Attn: Direct Provider Designation</w:t>
      </w:r>
      <w:r w:rsidRPr="00293870">
        <w:rPr>
          <w:rFonts w:ascii="Arial" w:eastAsia="Times New Roman" w:hAnsi="Arial" w:cs="Arial"/>
        </w:rPr>
        <w:br/>
      </w:r>
      <w:r>
        <w:rPr>
          <w:rFonts w:ascii="Arial" w:eastAsia="Times New Roman" w:hAnsi="Arial" w:cs="Arial"/>
        </w:rPr>
        <w:t>109 8</w:t>
      </w:r>
      <w:r w:rsidRPr="00293870">
        <w:rPr>
          <w:rFonts w:ascii="Arial" w:eastAsia="Times New Roman" w:hAnsi="Arial" w:cs="Arial"/>
          <w:vertAlign w:val="superscript"/>
        </w:rPr>
        <w:t>th</w:t>
      </w:r>
      <w:r>
        <w:rPr>
          <w:rFonts w:ascii="Arial" w:eastAsia="Times New Roman" w:hAnsi="Arial" w:cs="Arial"/>
        </w:rPr>
        <w:t xml:space="preserve"> Ave, Shalimar FL 32579</w:t>
      </w:r>
    </w:p>
    <w:p w14:paraId="37AF7D43" w14:textId="77777777" w:rsidR="003D1C8E" w:rsidRDefault="003D1C8E" w:rsidP="003D1C8E">
      <w:pPr>
        <w:rPr>
          <w:rFonts w:ascii="Arial" w:hAnsi="Arial" w:cs="Arial"/>
        </w:rPr>
      </w:pPr>
      <w:hyperlink r:id="rId10" w:history="1">
        <w:r w:rsidRPr="00CF4727">
          <w:rPr>
            <w:rStyle w:val="Hyperlink"/>
            <w:rFonts w:ascii="Arial" w:hAnsi="Arial" w:cs="Arial"/>
          </w:rPr>
          <w:t>mburns@careersourceow.com</w:t>
        </w:r>
      </w:hyperlink>
    </w:p>
    <w:p w14:paraId="62653BCB" w14:textId="77777777" w:rsidR="003D1C8E" w:rsidRPr="00171831" w:rsidRDefault="003D1C8E" w:rsidP="003D1C8E">
      <w:pPr>
        <w:rPr>
          <w:rFonts w:ascii="Arial" w:hAnsi="Arial" w:cs="Arial"/>
        </w:rPr>
      </w:pPr>
      <w:r w:rsidRPr="00171831">
        <w:rPr>
          <w:rFonts w:ascii="Arial" w:hAnsi="Arial" w:cs="Arial"/>
        </w:rPr>
        <w:t>All comments received during the public comment period will be reviewed and addressed, and any substantive comments will be incorporated into the final submission as appropriate.</w:t>
      </w:r>
    </w:p>
    <w:p w14:paraId="77754EED" w14:textId="77777777" w:rsidR="003D1C8E" w:rsidRDefault="003D1C8E">
      <w:pPr>
        <w:rPr>
          <w:rFonts w:ascii="Arial" w:hAnsi="Arial" w:cs="Arial"/>
        </w:rPr>
      </w:pPr>
    </w:p>
    <w:p w14:paraId="542ADFBC" w14:textId="01201078" w:rsidR="00F31A4F" w:rsidRPr="00C56DF1" w:rsidRDefault="00F31A4F">
      <w:pPr>
        <w:rPr>
          <w:rFonts w:ascii="Arial" w:hAnsi="Arial" w:cs="Arial"/>
        </w:rPr>
      </w:pPr>
    </w:p>
    <w:p w14:paraId="18FF0BFA" w14:textId="0B12DDBE" w:rsidR="00C56DF1" w:rsidRPr="00766F6B" w:rsidRDefault="009005DD" w:rsidP="002975E8">
      <w:pPr>
        <w:pStyle w:val="Heading2"/>
        <w:numPr>
          <w:ilvl w:val="0"/>
          <w:numId w:val="19"/>
        </w:numPr>
        <w:rPr>
          <w:rFonts w:ascii="Arial" w:hAnsi="Arial" w:cs="Arial"/>
          <w:color w:val="auto"/>
          <w:sz w:val="24"/>
          <w:szCs w:val="24"/>
        </w:rPr>
      </w:pPr>
      <w:r w:rsidRPr="00766F6B">
        <w:rPr>
          <w:rFonts w:ascii="Arial" w:hAnsi="Arial" w:cs="Arial"/>
          <w:color w:val="auto"/>
          <w:sz w:val="24"/>
          <w:szCs w:val="24"/>
        </w:rPr>
        <w:t>INTRODUCTION</w:t>
      </w:r>
    </w:p>
    <w:p w14:paraId="1695ACAF" w14:textId="77777777" w:rsidR="00766F6B" w:rsidRPr="00766F6B" w:rsidRDefault="00766F6B" w:rsidP="00766F6B"/>
    <w:p w14:paraId="39889962" w14:textId="0370162C" w:rsidR="00766F6B" w:rsidRPr="00766F6B" w:rsidRDefault="009005DD">
      <w:pPr>
        <w:rPr>
          <w:rFonts w:ascii="Arial" w:hAnsi="Arial" w:cs="Arial"/>
        </w:rPr>
      </w:pPr>
      <w:r w:rsidRPr="00C56DF1">
        <w:rPr>
          <w:rFonts w:ascii="Arial" w:hAnsi="Arial" w:cs="Arial"/>
        </w:rPr>
        <w:t>Under the Workforce Innovation and Opportunity Act (WIOA), and with the agreement of the Local Workforce Development Board of Directors, the Chief Local Elected Officials (CLEOs), and the Governor, CareerSource Okaloosa Walton (CSOW) is authorized to provide basic and individualized career services directly.</w:t>
      </w:r>
      <w:r w:rsidRPr="00C56DF1">
        <w:rPr>
          <w:rFonts w:ascii="Arial" w:hAnsi="Arial" w:cs="Arial"/>
        </w:rPr>
        <w:br/>
      </w:r>
      <w:r w:rsidRPr="00C56DF1">
        <w:rPr>
          <w:rFonts w:ascii="Arial" w:hAnsi="Arial" w:cs="Arial"/>
        </w:rPr>
        <w:br/>
        <w:t>CSOW was initially approved as a Direct Service Provider on July 1, 2008, and has operated under this model since that time, delivering services to WIOA Adult and Dislocated Worker participants. Youth services were added in Program Year 2009–2010.</w:t>
      </w:r>
      <w:r w:rsidRPr="00C56DF1">
        <w:rPr>
          <w:rFonts w:ascii="Arial" w:hAnsi="Arial" w:cs="Arial"/>
        </w:rPr>
        <w:br/>
      </w:r>
      <w:r w:rsidR="00766F6B" w:rsidRPr="00766F6B">
        <w:rPr>
          <w:rFonts w:ascii="Arial" w:hAnsi="Arial" w:cs="Arial"/>
        </w:rPr>
        <w:t>CSOW respectfully submits this report in support of its request for continued designation as a Direct Provider of Workforce Services for the upcoming three-year period.</w:t>
      </w:r>
    </w:p>
    <w:p w14:paraId="0A434BB7" w14:textId="357F7A44" w:rsidR="00F31A4F" w:rsidRPr="00766F6B" w:rsidRDefault="009005DD" w:rsidP="002975E8">
      <w:pPr>
        <w:pStyle w:val="Heading2"/>
        <w:numPr>
          <w:ilvl w:val="0"/>
          <w:numId w:val="19"/>
        </w:numPr>
        <w:rPr>
          <w:rFonts w:ascii="Arial" w:hAnsi="Arial" w:cs="Arial"/>
          <w:color w:val="auto"/>
          <w:sz w:val="24"/>
          <w:szCs w:val="24"/>
        </w:rPr>
      </w:pPr>
      <w:r w:rsidRPr="00766F6B">
        <w:rPr>
          <w:rFonts w:ascii="Arial" w:hAnsi="Arial" w:cs="Arial"/>
          <w:color w:val="auto"/>
          <w:sz w:val="24"/>
          <w:szCs w:val="24"/>
        </w:rPr>
        <w:t>PUBLIC COMMENT PERIOD</w:t>
      </w:r>
    </w:p>
    <w:p w14:paraId="102E0BCD" w14:textId="77777777" w:rsidR="00C56DF1" w:rsidRPr="00C56DF1" w:rsidRDefault="00C56DF1" w:rsidP="00C56DF1"/>
    <w:p w14:paraId="31FBB388" w14:textId="77777777" w:rsidR="00293870" w:rsidRPr="00293870" w:rsidRDefault="009005DD" w:rsidP="00293870">
      <w:pPr>
        <w:pStyle w:val="NormalWeb"/>
        <w:rPr>
          <w:rFonts w:ascii="Arial" w:hAnsi="Arial" w:cs="Arial"/>
          <w:sz w:val="22"/>
          <w:szCs w:val="22"/>
        </w:rPr>
      </w:pPr>
      <w:r w:rsidRPr="00293870">
        <w:rPr>
          <w:rFonts w:ascii="Arial" w:hAnsi="Arial" w:cs="Arial"/>
          <w:sz w:val="22"/>
          <w:szCs w:val="22"/>
        </w:rPr>
        <w:t>In accordance with 20 CFR 679.410(c)(2), the proposed request for continued Direct Provider designation was made available for public comment for a period of no less than 30 days.</w:t>
      </w:r>
    </w:p>
    <w:p w14:paraId="7F337049" w14:textId="77777777" w:rsidR="00293870" w:rsidRPr="00293870" w:rsidRDefault="00293870" w:rsidP="00293870">
      <w:pPr>
        <w:pStyle w:val="NormalWeb"/>
        <w:rPr>
          <w:rFonts w:ascii="Arial" w:hAnsi="Arial" w:cs="Arial"/>
          <w:sz w:val="22"/>
          <w:szCs w:val="22"/>
        </w:rPr>
      </w:pPr>
    </w:p>
    <w:p w14:paraId="34153EB0" w14:textId="20232447" w:rsidR="00293870" w:rsidRPr="00293870" w:rsidRDefault="00293870" w:rsidP="00293870">
      <w:pPr>
        <w:pStyle w:val="NormalWeb"/>
        <w:rPr>
          <w:rFonts w:ascii="Arial" w:hAnsi="Arial" w:cs="Arial"/>
          <w:sz w:val="22"/>
          <w:szCs w:val="22"/>
        </w:rPr>
      </w:pPr>
      <w:r w:rsidRPr="00293870">
        <w:rPr>
          <w:rFonts w:ascii="Arial" w:hAnsi="Arial" w:cs="Arial"/>
          <w:sz w:val="22"/>
          <w:szCs w:val="22"/>
        </w:rPr>
        <w:t>Written comments must be received no later than the close of the public comment period.</w:t>
      </w:r>
    </w:p>
    <w:p w14:paraId="2E12A5B4" w14:textId="77777777" w:rsidR="00293870" w:rsidRPr="00293870" w:rsidRDefault="00293870" w:rsidP="00293870">
      <w:pPr>
        <w:spacing w:before="100" w:beforeAutospacing="1" w:after="100" w:afterAutospacing="1" w:line="240" w:lineRule="auto"/>
        <w:rPr>
          <w:rFonts w:ascii="Arial" w:eastAsia="Times New Roman" w:hAnsi="Arial" w:cs="Arial"/>
        </w:rPr>
      </w:pPr>
      <w:r w:rsidRPr="00293870">
        <w:rPr>
          <w:rFonts w:ascii="Arial" w:eastAsia="Times New Roman" w:hAnsi="Arial" w:cs="Arial"/>
        </w:rPr>
        <w:t>Comments may be submitted to:</w:t>
      </w:r>
    </w:p>
    <w:p w14:paraId="16B77452" w14:textId="77777777" w:rsidR="00293870" w:rsidRDefault="00293870" w:rsidP="00293870">
      <w:pPr>
        <w:spacing w:before="100" w:beforeAutospacing="1" w:after="100" w:afterAutospacing="1" w:line="240" w:lineRule="auto"/>
        <w:rPr>
          <w:rFonts w:ascii="Arial" w:eastAsia="Times New Roman" w:hAnsi="Arial" w:cs="Arial"/>
        </w:rPr>
      </w:pPr>
      <w:r w:rsidRPr="00293870">
        <w:rPr>
          <w:rFonts w:ascii="Arial" w:eastAsia="Times New Roman" w:hAnsi="Arial" w:cs="Arial"/>
        </w:rPr>
        <w:t>CareerSource Okaloosa Walton</w:t>
      </w:r>
      <w:r w:rsidRPr="00293870">
        <w:rPr>
          <w:rFonts w:ascii="Arial" w:eastAsia="Times New Roman" w:hAnsi="Arial" w:cs="Arial"/>
        </w:rPr>
        <w:br/>
        <w:t>Attn: Direct Provider Designation</w:t>
      </w:r>
      <w:r w:rsidRPr="00293870">
        <w:rPr>
          <w:rFonts w:ascii="Arial" w:eastAsia="Times New Roman" w:hAnsi="Arial" w:cs="Arial"/>
        </w:rPr>
        <w:br/>
      </w:r>
      <w:r>
        <w:rPr>
          <w:rFonts w:ascii="Arial" w:eastAsia="Times New Roman" w:hAnsi="Arial" w:cs="Arial"/>
        </w:rPr>
        <w:t>109 8</w:t>
      </w:r>
      <w:r w:rsidRPr="00293870">
        <w:rPr>
          <w:rFonts w:ascii="Arial" w:eastAsia="Times New Roman" w:hAnsi="Arial" w:cs="Arial"/>
          <w:vertAlign w:val="superscript"/>
        </w:rPr>
        <w:t>th</w:t>
      </w:r>
      <w:r>
        <w:rPr>
          <w:rFonts w:ascii="Arial" w:eastAsia="Times New Roman" w:hAnsi="Arial" w:cs="Arial"/>
        </w:rPr>
        <w:t xml:space="preserve"> Ave, Shalimar FL 32579</w:t>
      </w:r>
    </w:p>
    <w:p w14:paraId="53395DC1" w14:textId="346FC0C9" w:rsidR="00293870" w:rsidRPr="00293870" w:rsidRDefault="00293870" w:rsidP="00293870">
      <w:pPr>
        <w:spacing w:before="100" w:beforeAutospacing="1" w:after="100" w:afterAutospacing="1" w:line="240" w:lineRule="auto"/>
        <w:rPr>
          <w:rFonts w:ascii="Arial" w:eastAsia="Times New Roman" w:hAnsi="Arial" w:cs="Arial"/>
        </w:rPr>
      </w:pPr>
      <w:r>
        <w:rPr>
          <w:rFonts w:ascii="Arial" w:eastAsia="Times New Roman" w:hAnsi="Arial" w:cs="Arial"/>
        </w:rPr>
        <w:t xml:space="preserve">Or email to </w:t>
      </w:r>
      <w:hyperlink r:id="rId11" w:history="1">
        <w:r w:rsidRPr="00CF4727">
          <w:rPr>
            <w:rStyle w:val="Hyperlink"/>
            <w:rFonts w:ascii="Arial" w:eastAsia="Times New Roman" w:hAnsi="Arial" w:cs="Arial"/>
          </w:rPr>
          <w:t>mburns@careersourceow.com</w:t>
        </w:r>
      </w:hyperlink>
    </w:p>
    <w:p w14:paraId="52837511" w14:textId="06286255" w:rsidR="00766F6B" w:rsidRDefault="00293870" w:rsidP="00293870">
      <w:pPr>
        <w:spacing w:before="100" w:beforeAutospacing="1" w:after="100" w:afterAutospacing="1" w:line="240" w:lineRule="auto"/>
        <w:rPr>
          <w:rFonts w:ascii="Arial" w:eastAsia="Times New Roman" w:hAnsi="Arial" w:cs="Arial"/>
        </w:rPr>
      </w:pPr>
      <w:r w:rsidRPr="00293870">
        <w:rPr>
          <w:rFonts w:ascii="Arial" w:eastAsia="Times New Roman" w:hAnsi="Arial" w:cs="Arial"/>
        </w:rPr>
        <w:t>All comments received during the public comment period will be reviewed and considered prior to submission of the final request to the appropriate state authorities</w:t>
      </w:r>
      <w:r>
        <w:rPr>
          <w:rFonts w:ascii="Arial" w:eastAsia="Times New Roman" w:hAnsi="Arial" w:cs="Arial"/>
        </w:rPr>
        <w:t>.</w:t>
      </w:r>
    </w:p>
    <w:p w14:paraId="7BE7CF2B" w14:textId="77777777" w:rsidR="00293870" w:rsidRPr="00293870" w:rsidRDefault="00293870" w:rsidP="00293870">
      <w:pPr>
        <w:spacing w:before="100" w:beforeAutospacing="1" w:after="100" w:afterAutospacing="1" w:line="240" w:lineRule="auto"/>
        <w:rPr>
          <w:rFonts w:ascii="Arial" w:eastAsia="Times New Roman" w:hAnsi="Arial" w:cs="Arial"/>
        </w:rPr>
      </w:pPr>
    </w:p>
    <w:p w14:paraId="52DF80CB" w14:textId="25A3484D" w:rsidR="00C56DF1" w:rsidRPr="002975E8" w:rsidRDefault="009005DD" w:rsidP="002975E8">
      <w:pPr>
        <w:pStyle w:val="ListParagraph"/>
        <w:numPr>
          <w:ilvl w:val="0"/>
          <w:numId w:val="19"/>
        </w:numPr>
        <w:rPr>
          <w:rFonts w:ascii="Arial" w:hAnsi="Arial" w:cs="Arial"/>
          <w:b/>
          <w:bCs/>
          <w:sz w:val="24"/>
          <w:szCs w:val="24"/>
        </w:rPr>
      </w:pPr>
      <w:r w:rsidRPr="002975E8">
        <w:rPr>
          <w:rFonts w:ascii="Arial" w:hAnsi="Arial" w:cs="Arial"/>
          <w:b/>
          <w:bCs/>
          <w:sz w:val="24"/>
          <w:szCs w:val="24"/>
        </w:rPr>
        <w:t>GOVERNANCE &amp; FIREWALL IMPLEMENTATION</w:t>
      </w:r>
    </w:p>
    <w:p w14:paraId="531A0163" w14:textId="77777777" w:rsidR="00766F6B" w:rsidRDefault="00766F6B" w:rsidP="00766F6B">
      <w:pPr>
        <w:spacing w:line="240" w:lineRule="auto"/>
        <w:rPr>
          <w:rFonts w:ascii="Arial" w:hAnsi="Arial" w:cs="Arial"/>
          <w:b/>
          <w:bCs/>
          <w:sz w:val="24"/>
          <w:szCs w:val="24"/>
        </w:rPr>
      </w:pPr>
    </w:p>
    <w:p w14:paraId="3E6F4FFE" w14:textId="37BE3036" w:rsidR="00F31A4F" w:rsidRDefault="009005DD" w:rsidP="00293870">
      <w:pPr>
        <w:rPr>
          <w:rFonts w:ascii="Arial" w:hAnsi="Arial" w:cs="Arial"/>
        </w:rPr>
      </w:pPr>
      <w:r w:rsidRPr="00C56DF1">
        <w:rPr>
          <w:rFonts w:ascii="Arial" w:hAnsi="Arial" w:cs="Arial"/>
        </w:rPr>
        <w:t>CareerSource Okaloosa Walton maintains a clear and documented separation between Board oversight responsibilities and operational management functions, consistent with WIOA §121(d)(4)(A) and 20 CFR 679.430.</w:t>
      </w:r>
      <w:r w:rsidR="00766F6B" w:rsidRPr="00766F6B">
        <w:t xml:space="preserve"> </w:t>
      </w:r>
      <w:r w:rsidR="00766F6B" w:rsidRPr="00766F6B">
        <w:rPr>
          <w:rFonts w:ascii="Arial" w:hAnsi="Arial" w:cs="Arial"/>
        </w:rPr>
        <w:t>These measures ensure transparency, integrity, and independent oversight of direct service delivery functions.</w:t>
      </w:r>
      <w:r w:rsidRPr="00766F6B">
        <w:rPr>
          <w:rFonts w:ascii="Arial" w:hAnsi="Arial" w:cs="Arial"/>
        </w:rPr>
        <w:br/>
      </w:r>
      <w:r w:rsidRPr="00C56DF1">
        <w:rPr>
          <w:rFonts w:ascii="Arial" w:hAnsi="Arial" w:cs="Arial"/>
        </w:rPr>
        <w:lastRenderedPageBreak/>
        <w:br/>
        <w:t xml:space="preserve">The Board of Directors </w:t>
      </w:r>
      <w:proofErr w:type="gramStart"/>
      <w:r w:rsidRPr="00C56DF1">
        <w:rPr>
          <w:rFonts w:ascii="Arial" w:hAnsi="Arial" w:cs="Arial"/>
        </w:rPr>
        <w:t>serves in</w:t>
      </w:r>
      <w:proofErr w:type="gramEnd"/>
      <w:r w:rsidRPr="00C56DF1">
        <w:rPr>
          <w:rFonts w:ascii="Arial" w:hAnsi="Arial" w:cs="Arial"/>
        </w:rPr>
        <w:t xml:space="preserve"> a policymaking and oversight capacity and does not engage in daily operational management. The Executive Director is the sole individual accountable to the Board and is responsible for implementing Board policy and overseeing workforce programs. Authority for daily operations is delegated to the Chief Operating Officer.</w:t>
      </w:r>
      <w:r w:rsidRPr="00C56DF1">
        <w:rPr>
          <w:rFonts w:ascii="Arial" w:hAnsi="Arial" w:cs="Arial"/>
        </w:rPr>
        <w:br/>
      </w:r>
      <w:r w:rsidRPr="00C56DF1">
        <w:rPr>
          <w:rFonts w:ascii="Arial" w:hAnsi="Arial" w:cs="Arial"/>
        </w:rPr>
        <w:br/>
        <w:t>Administrative, Fiscal, and Quality Assurance staff operate under the Executive Director’s authority and are structurally separated from frontline program supervision to ensure independent oversight and transparency. This governance structure establishes a formal firewall separating oversight from service delivery functions.</w:t>
      </w:r>
    </w:p>
    <w:p w14:paraId="68F277AE" w14:textId="77777777" w:rsidR="00F637A1" w:rsidRPr="00C56DF1" w:rsidRDefault="00F637A1">
      <w:pPr>
        <w:rPr>
          <w:rFonts w:ascii="Arial" w:hAnsi="Arial" w:cs="Arial"/>
        </w:rPr>
      </w:pPr>
    </w:p>
    <w:p w14:paraId="4F5C9518" w14:textId="21FDCCDE" w:rsidR="00F31A4F" w:rsidRPr="002975E8" w:rsidRDefault="009005DD" w:rsidP="002975E8">
      <w:pPr>
        <w:pStyle w:val="Heading2"/>
        <w:numPr>
          <w:ilvl w:val="0"/>
          <w:numId w:val="19"/>
        </w:numPr>
        <w:rPr>
          <w:rFonts w:ascii="Arial" w:hAnsi="Arial" w:cs="Arial"/>
          <w:color w:val="auto"/>
          <w:sz w:val="24"/>
          <w:szCs w:val="24"/>
        </w:rPr>
      </w:pPr>
      <w:r w:rsidRPr="002975E8">
        <w:rPr>
          <w:rFonts w:ascii="Arial" w:hAnsi="Arial" w:cs="Arial"/>
          <w:color w:val="auto"/>
          <w:sz w:val="24"/>
          <w:szCs w:val="24"/>
        </w:rPr>
        <w:t>GRANT PROGRAM IDENTIFICATION</w:t>
      </w:r>
    </w:p>
    <w:p w14:paraId="7B1A45E2" w14:textId="77777777" w:rsidR="00C56DF1" w:rsidRPr="00C56DF1" w:rsidRDefault="00C56DF1" w:rsidP="00C56DF1"/>
    <w:p w14:paraId="2DD0A10C" w14:textId="4A8DF609" w:rsidR="00F31A4F" w:rsidRPr="00766F6B" w:rsidRDefault="009005DD">
      <w:r w:rsidRPr="00C56DF1">
        <w:rPr>
          <w:rFonts w:ascii="Arial" w:hAnsi="Arial" w:cs="Arial"/>
        </w:rPr>
        <w:t>CareerSource Okaloosa Walton directly administers and delivers services funded through:</w:t>
      </w:r>
      <w:r w:rsidRPr="00C56DF1">
        <w:rPr>
          <w:rFonts w:ascii="Arial" w:hAnsi="Arial" w:cs="Arial"/>
        </w:rPr>
        <w:br/>
      </w:r>
      <w:r w:rsidRPr="00C56DF1">
        <w:rPr>
          <w:rFonts w:ascii="Arial" w:hAnsi="Arial" w:cs="Arial"/>
        </w:rPr>
        <w:br/>
        <w:t>• WIOA Title I – Adult</w:t>
      </w:r>
      <w:r w:rsidRPr="00C56DF1">
        <w:rPr>
          <w:rFonts w:ascii="Arial" w:hAnsi="Arial" w:cs="Arial"/>
        </w:rPr>
        <w:br/>
        <w:t>• WIOA Title I – Dislocated Worker</w:t>
      </w:r>
      <w:r w:rsidRPr="00C56DF1">
        <w:rPr>
          <w:rFonts w:ascii="Arial" w:hAnsi="Arial" w:cs="Arial"/>
        </w:rPr>
        <w:br/>
        <w:t>• WIOA Title I – Youth</w:t>
      </w:r>
      <w:r w:rsidRPr="00C56DF1">
        <w:rPr>
          <w:rFonts w:ascii="Arial" w:hAnsi="Arial" w:cs="Arial"/>
        </w:rPr>
        <w:br/>
        <w:t>• Wagner-Peyser Employment Services (Title III)</w:t>
      </w:r>
      <w:r w:rsidRPr="00C56DF1">
        <w:rPr>
          <w:rFonts w:ascii="Arial" w:hAnsi="Arial" w:cs="Arial"/>
        </w:rPr>
        <w:br/>
        <w:t>• National Dislocated Worker Grants (as applicable)</w:t>
      </w:r>
      <w:r w:rsidRPr="00C56DF1">
        <w:rPr>
          <w:rFonts w:ascii="Arial" w:hAnsi="Arial" w:cs="Arial"/>
        </w:rPr>
        <w:br/>
        <w:t>• Other state or discretionary workforce grants as awarded</w:t>
      </w:r>
      <w:r w:rsidRPr="00C56DF1">
        <w:rPr>
          <w:rFonts w:ascii="Arial" w:hAnsi="Arial" w:cs="Arial"/>
        </w:rPr>
        <w:br/>
      </w:r>
      <w:r w:rsidRPr="00C56DF1">
        <w:rPr>
          <w:rFonts w:ascii="Arial" w:hAnsi="Arial" w:cs="Arial"/>
        </w:rPr>
        <w:br/>
      </w:r>
      <w:r w:rsidR="00766F6B" w:rsidRPr="00766F6B">
        <w:rPr>
          <w:rFonts w:ascii="Arial" w:hAnsi="Arial" w:cs="Arial"/>
        </w:rPr>
        <w:t>These programs collectively fund the direct provision of career services, training services, and employer engagement activities delivered by CSOW staff.</w:t>
      </w:r>
      <w:r w:rsidR="00766F6B">
        <w:t xml:space="preserve"> </w:t>
      </w:r>
      <w:r w:rsidRPr="00C56DF1">
        <w:rPr>
          <w:rFonts w:ascii="Arial" w:hAnsi="Arial" w:cs="Arial"/>
        </w:rPr>
        <w:t>These funding streams support basic career services, individualized career services, training services, work-based learning, and employer engagement activities.</w:t>
      </w:r>
    </w:p>
    <w:p w14:paraId="37BF0F58" w14:textId="57B6D138" w:rsidR="00F31A4F" w:rsidRPr="002975E8" w:rsidRDefault="009005DD" w:rsidP="002975E8">
      <w:pPr>
        <w:pStyle w:val="Heading2"/>
        <w:numPr>
          <w:ilvl w:val="0"/>
          <w:numId w:val="19"/>
        </w:numPr>
        <w:rPr>
          <w:rFonts w:ascii="Arial" w:hAnsi="Arial" w:cs="Arial"/>
          <w:color w:val="auto"/>
          <w:sz w:val="24"/>
          <w:szCs w:val="24"/>
        </w:rPr>
      </w:pPr>
      <w:r w:rsidRPr="002975E8">
        <w:rPr>
          <w:rFonts w:ascii="Arial" w:hAnsi="Arial" w:cs="Arial"/>
          <w:color w:val="auto"/>
          <w:sz w:val="24"/>
          <w:szCs w:val="24"/>
        </w:rPr>
        <w:t>COST ANALYSIS</w:t>
      </w:r>
    </w:p>
    <w:p w14:paraId="75A4AC1A" w14:textId="77777777" w:rsidR="00C56DF1" w:rsidRPr="00C56DF1" w:rsidRDefault="00C56DF1" w:rsidP="00C56DF1"/>
    <w:p w14:paraId="08FC3D6A" w14:textId="77777777" w:rsidR="00C56DF1" w:rsidRPr="00C56DF1" w:rsidRDefault="009005DD">
      <w:pPr>
        <w:rPr>
          <w:rFonts w:ascii="Arial" w:hAnsi="Arial" w:cs="Arial"/>
        </w:rPr>
      </w:pPr>
      <w:r w:rsidRPr="00C56DF1">
        <w:rPr>
          <w:rFonts w:ascii="Arial" w:hAnsi="Arial" w:cs="Arial"/>
        </w:rPr>
        <w:t>Operating as a Direct Provider generates approximately $250,000 in annual cost savings through elimination of:</w:t>
      </w:r>
    </w:p>
    <w:p w14:paraId="4C132E32" w14:textId="77777777" w:rsidR="00766F6B" w:rsidRDefault="00766F6B" w:rsidP="00766F6B">
      <w:pPr>
        <w:ind w:left="720"/>
        <w:rPr>
          <w:rFonts w:ascii="Arial" w:hAnsi="Arial" w:cs="Arial"/>
        </w:rPr>
      </w:pPr>
      <w:r>
        <w:t xml:space="preserve">• </w:t>
      </w:r>
      <w:r w:rsidRPr="00766F6B">
        <w:rPr>
          <w:rFonts w:ascii="Arial" w:hAnsi="Arial" w:cs="Arial"/>
        </w:rPr>
        <w:t>Additional management layer – $140,000 (56%)</w:t>
      </w:r>
      <w:r w:rsidRPr="00766F6B">
        <w:rPr>
          <w:rFonts w:ascii="Arial" w:hAnsi="Arial" w:cs="Arial"/>
        </w:rPr>
        <w:br/>
        <w:t>• Duplicate systems – $25,000 (10%)</w:t>
      </w:r>
      <w:r w:rsidRPr="00766F6B">
        <w:rPr>
          <w:rFonts w:ascii="Arial" w:hAnsi="Arial" w:cs="Arial"/>
        </w:rPr>
        <w:br/>
        <w:t>• Operational overhead – $35,000 (14%)</w:t>
      </w:r>
      <w:r w:rsidRPr="00766F6B">
        <w:rPr>
          <w:rFonts w:ascii="Arial" w:hAnsi="Arial" w:cs="Arial"/>
        </w:rPr>
        <w:br/>
        <w:t>• Single Audit requirement – $25,000 (10%)</w:t>
      </w:r>
      <w:r w:rsidRPr="00766F6B">
        <w:rPr>
          <w:rFonts w:ascii="Arial" w:hAnsi="Arial" w:cs="Arial"/>
        </w:rPr>
        <w:br/>
        <w:t>• Governing board support costs – $25,000 (10%)</w:t>
      </w:r>
      <w:r w:rsidR="009005DD" w:rsidRPr="00C56DF1">
        <w:rPr>
          <w:rFonts w:ascii="Arial" w:hAnsi="Arial" w:cs="Arial"/>
        </w:rPr>
        <w:br/>
      </w:r>
    </w:p>
    <w:p w14:paraId="542D8063" w14:textId="512E603D" w:rsidR="002975E8" w:rsidRPr="00C56DF1" w:rsidRDefault="009005DD" w:rsidP="00766F6B">
      <w:pPr>
        <w:rPr>
          <w:rFonts w:ascii="Arial" w:hAnsi="Arial" w:cs="Arial"/>
        </w:rPr>
      </w:pPr>
      <w:r w:rsidRPr="00C56DF1">
        <w:rPr>
          <w:rFonts w:ascii="Arial" w:hAnsi="Arial" w:cs="Arial"/>
        </w:rPr>
        <w:t>These savings are reinvested directly into training, youth programs, and employer engagement initiatives. Detailed cost comparison documentation is maintained on file.</w:t>
      </w:r>
    </w:p>
    <w:p w14:paraId="530D39E4" w14:textId="6ED3409F" w:rsidR="00F31A4F" w:rsidRPr="002975E8" w:rsidRDefault="009005DD" w:rsidP="002975E8">
      <w:pPr>
        <w:pStyle w:val="Heading2"/>
        <w:numPr>
          <w:ilvl w:val="0"/>
          <w:numId w:val="19"/>
        </w:numPr>
        <w:rPr>
          <w:rFonts w:ascii="Arial" w:hAnsi="Arial" w:cs="Arial"/>
          <w:color w:val="auto"/>
          <w:sz w:val="24"/>
          <w:szCs w:val="24"/>
        </w:rPr>
      </w:pPr>
      <w:r w:rsidRPr="002975E8">
        <w:rPr>
          <w:rFonts w:ascii="Arial" w:hAnsi="Arial" w:cs="Arial"/>
          <w:color w:val="auto"/>
          <w:sz w:val="24"/>
          <w:szCs w:val="24"/>
        </w:rPr>
        <w:t>PERFORMANCE IMPROVEMENT</w:t>
      </w:r>
    </w:p>
    <w:p w14:paraId="0BDCC574" w14:textId="77777777" w:rsidR="00766F6B" w:rsidRPr="00766F6B" w:rsidRDefault="00766F6B" w:rsidP="00766F6B">
      <w:pPr>
        <w:rPr>
          <w:rFonts w:ascii="Arial" w:hAnsi="Arial" w:cs="Arial"/>
        </w:rPr>
      </w:pPr>
    </w:p>
    <w:p w14:paraId="750EF826" w14:textId="1C2D9002" w:rsidR="00C56DF1" w:rsidRPr="00C56DF1" w:rsidRDefault="00766F6B">
      <w:pPr>
        <w:rPr>
          <w:rFonts w:ascii="Arial" w:hAnsi="Arial" w:cs="Arial"/>
        </w:rPr>
      </w:pPr>
      <w:r w:rsidRPr="00766F6B">
        <w:rPr>
          <w:rFonts w:ascii="Arial" w:hAnsi="Arial" w:cs="Arial"/>
        </w:rPr>
        <w:t>The Direct Provider model continues to drive measurable improvements in performance outcomes and service delivery efficiency.</w:t>
      </w:r>
    </w:p>
    <w:p w14:paraId="31323B30" w14:textId="30B1611C" w:rsidR="00C56DF1" w:rsidRPr="002975E8" w:rsidRDefault="00C56DF1" w:rsidP="002975E8">
      <w:pPr>
        <w:pStyle w:val="ListParagraph"/>
        <w:numPr>
          <w:ilvl w:val="0"/>
          <w:numId w:val="22"/>
        </w:numPr>
        <w:spacing w:before="100" w:beforeAutospacing="1" w:after="100" w:afterAutospacing="1"/>
        <w:rPr>
          <w:rFonts w:ascii="Arial" w:hAnsi="Arial" w:cs="Arial"/>
          <w:b/>
          <w:bCs/>
          <w:sz w:val="24"/>
          <w:szCs w:val="24"/>
        </w:rPr>
      </w:pPr>
      <w:r w:rsidRPr="002975E8">
        <w:rPr>
          <w:rFonts w:ascii="Arial" w:hAnsi="Arial" w:cs="Arial"/>
          <w:b/>
          <w:bCs/>
          <w:sz w:val="24"/>
          <w:szCs w:val="24"/>
        </w:rPr>
        <w:t xml:space="preserve">WIOA Primary Indicators of Performance </w:t>
      </w:r>
    </w:p>
    <w:p w14:paraId="43FC3D42" w14:textId="4A0EA3E0" w:rsidR="00C56DF1" w:rsidRPr="00C56DF1" w:rsidRDefault="00C56DF1" w:rsidP="002975E8">
      <w:pPr>
        <w:spacing w:after="0" w:line="240" w:lineRule="auto"/>
        <w:ind w:left="360"/>
        <w:rPr>
          <w:rFonts w:ascii="Arial" w:hAnsi="Arial" w:cs="Arial"/>
        </w:rPr>
      </w:pPr>
      <w:r w:rsidRPr="00C56DF1">
        <w:rPr>
          <w:rFonts w:ascii="Arial" w:hAnsi="Arial" w:cs="Arial"/>
        </w:rPr>
        <w:t>WIOA’s primary indicators measure employment rates, median earnings, credential attainment, measurable skill gains, and effectiveness in serving employers. These metrics are used to evaluate program success and guide continuous improvement efforts.</w:t>
      </w:r>
      <w:r w:rsidR="002975E8">
        <w:rPr>
          <w:rFonts w:ascii="Arial" w:hAnsi="Arial" w:cs="Arial"/>
        </w:rPr>
        <w:t xml:space="preserve">  </w:t>
      </w:r>
      <w:r w:rsidRPr="00C56DF1">
        <w:rPr>
          <w:rFonts w:ascii="Arial" w:hAnsi="Arial" w:cs="Arial"/>
        </w:rPr>
        <w:t>The chart below presents CareerSource Okaloosa Walton’s WIOA Primary Indicators of Performance outcomes for Program Years 2023-2024 and 2024–2025.</w:t>
      </w:r>
    </w:p>
    <w:p w14:paraId="50A8E343" w14:textId="77777777" w:rsidR="00C56DF1" w:rsidRPr="00C56DF1" w:rsidRDefault="00C56DF1" w:rsidP="00C56DF1">
      <w:pPr>
        <w:spacing w:after="0" w:line="240" w:lineRule="auto"/>
        <w:rPr>
          <w:rFonts w:ascii="Arial" w:hAnsi="Arial" w:cs="Arial"/>
        </w:rPr>
      </w:pPr>
    </w:p>
    <w:p w14:paraId="39316819" w14:textId="77777777" w:rsidR="00C56DF1" w:rsidRPr="00C56DF1" w:rsidRDefault="00C56DF1" w:rsidP="00C56DF1">
      <w:pPr>
        <w:spacing w:after="0" w:line="240" w:lineRule="auto"/>
        <w:rPr>
          <w:rFonts w:ascii="Arial" w:hAnsi="Arial" w:cs="Arial"/>
        </w:rPr>
      </w:pPr>
    </w:p>
    <w:p w14:paraId="61C43F1C" w14:textId="180DA8B3" w:rsidR="00C56DF1" w:rsidRPr="00C56DF1" w:rsidRDefault="00C56DF1" w:rsidP="00C56DF1">
      <w:pPr>
        <w:spacing w:after="0" w:line="240" w:lineRule="auto"/>
        <w:jc w:val="center"/>
        <w:rPr>
          <w:rFonts w:ascii="Arial" w:hAnsi="Arial" w:cs="Arial"/>
          <w:b/>
          <w:bCs/>
        </w:rPr>
      </w:pPr>
      <w:r w:rsidRPr="00C56DF1">
        <w:rPr>
          <w:rFonts w:ascii="Arial" w:hAnsi="Arial" w:cs="Arial"/>
          <w:b/>
          <w:bCs/>
        </w:rPr>
        <w:t>WIOA Primary Indicators of Performance</w:t>
      </w:r>
    </w:p>
    <w:p w14:paraId="3EC6D788" w14:textId="358EE947" w:rsidR="00C56DF1" w:rsidRPr="00C56DF1" w:rsidRDefault="00C56DF1" w:rsidP="00C56DF1">
      <w:pPr>
        <w:pStyle w:val="ListParagraph"/>
        <w:ind w:left="-180"/>
        <w:rPr>
          <w:rFonts w:ascii="Arial" w:hAnsi="Arial" w:cs="Arial"/>
        </w:rPr>
      </w:pPr>
      <w:r w:rsidRPr="00C56DF1">
        <w:rPr>
          <w:rFonts w:ascii="Arial" w:hAnsi="Arial" w:cs="Arial"/>
          <w:noProof/>
        </w:rPr>
        <w:drawing>
          <wp:inline distT="0" distB="0" distL="0" distR="0" wp14:anchorId="138449AE" wp14:editId="37A738AA">
            <wp:extent cx="5534025" cy="5421630"/>
            <wp:effectExtent l="0" t="0" r="9525" b="7620"/>
            <wp:docPr id="1261778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5421630"/>
                    </a:xfrm>
                    <a:prstGeom prst="rect">
                      <a:avLst/>
                    </a:prstGeom>
                    <a:noFill/>
                    <a:ln>
                      <a:noFill/>
                    </a:ln>
                  </pic:spPr>
                </pic:pic>
              </a:graphicData>
            </a:graphic>
          </wp:inline>
        </w:drawing>
      </w:r>
    </w:p>
    <w:p w14:paraId="5943F130" w14:textId="3529FD38" w:rsidR="00C56DF1" w:rsidRPr="00C56DF1" w:rsidRDefault="009005DD" w:rsidP="00F637A1">
      <w:pPr>
        <w:ind w:left="720"/>
        <w:rPr>
          <w:rFonts w:ascii="Arial" w:hAnsi="Arial" w:cs="Arial"/>
        </w:rPr>
      </w:pPr>
      <w:r w:rsidRPr="00C56DF1">
        <w:rPr>
          <w:rFonts w:ascii="Arial" w:hAnsi="Arial" w:cs="Arial"/>
        </w:rPr>
        <w:t>Program Year 2024–2025, CSOW met or exceeded 1</w:t>
      </w:r>
      <w:r w:rsidR="00C56DF1" w:rsidRPr="00C56DF1">
        <w:rPr>
          <w:rFonts w:ascii="Arial" w:hAnsi="Arial" w:cs="Arial"/>
        </w:rPr>
        <w:t>7</w:t>
      </w:r>
      <w:r w:rsidRPr="00C56DF1">
        <w:rPr>
          <w:rFonts w:ascii="Arial" w:hAnsi="Arial" w:cs="Arial"/>
        </w:rPr>
        <w:t xml:space="preserve"> of 18 federal performance measures</w:t>
      </w:r>
      <w:r w:rsidR="00C56DF1" w:rsidRPr="00C56DF1">
        <w:rPr>
          <w:rFonts w:ascii="Arial" w:hAnsi="Arial" w:cs="Arial"/>
        </w:rPr>
        <w:t>.</w:t>
      </w:r>
      <w:r w:rsidRPr="00C56DF1">
        <w:rPr>
          <w:rFonts w:ascii="Arial" w:hAnsi="Arial" w:cs="Arial"/>
        </w:rPr>
        <w:t xml:space="preserve"> Dislocated Worker performance achieved 100% in employment, credential attainment, and measurable skill gains. Adult outcomes exceeded wage and employment goals. Youth performance demonstrated measurable improvement, including increased credential attainment and employment outcomes. Wagner-Peyser performance exceeded negotiated employment and wage targets.</w:t>
      </w:r>
      <w:r w:rsidRPr="00C56DF1">
        <w:rPr>
          <w:rFonts w:ascii="Arial" w:hAnsi="Arial" w:cs="Arial"/>
        </w:rPr>
        <w:br/>
      </w:r>
      <w:r w:rsidRPr="00C56DF1">
        <w:rPr>
          <w:rFonts w:ascii="Arial" w:hAnsi="Arial" w:cs="Arial"/>
        </w:rPr>
        <w:br/>
        <w:t>Across all populations served, median wages exceeded negotiated goals, reflecting strong alignment with regional workforce demand.</w:t>
      </w:r>
      <w:r w:rsidR="00766F6B" w:rsidRPr="00766F6B">
        <w:t xml:space="preserve"> </w:t>
      </w:r>
      <w:r w:rsidR="00766F6B" w:rsidRPr="00766F6B">
        <w:rPr>
          <w:rFonts w:ascii="Arial" w:hAnsi="Arial" w:cs="Arial"/>
        </w:rPr>
        <w:t>These outcomes demonstrate continued improvement in service delivery effectiveness and performance accountability under the Direct Provider model.</w:t>
      </w:r>
    </w:p>
    <w:p w14:paraId="51EF9EEB" w14:textId="0C585E65" w:rsidR="00C56DF1" w:rsidRPr="00F637A1" w:rsidRDefault="00C56DF1" w:rsidP="00F637A1">
      <w:pPr>
        <w:pStyle w:val="ListParagraph"/>
        <w:numPr>
          <w:ilvl w:val="0"/>
          <w:numId w:val="22"/>
        </w:numPr>
        <w:rPr>
          <w:rFonts w:ascii="Arial" w:hAnsi="Arial" w:cs="Arial"/>
          <w:b/>
          <w:sz w:val="24"/>
          <w:szCs w:val="24"/>
        </w:rPr>
      </w:pPr>
      <w:r w:rsidRPr="002975E8">
        <w:rPr>
          <w:rFonts w:ascii="Arial" w:hAnsi="Arial" w:cs="Arial"/>
          <w:b/>
          <w:sz w:val="24"/>
          <w:szCs w:val="24"/>
        </w:rPr>
        <w:t xml:space="preserve">REACH Act Performance </w:t>
      </w:r>
    </w:p>
    <w:p w14:paraId="48C9AD6A" w14:textId="77777777" w:rsidR="00C56DF1" w:rsidRPr="002975E8" w:rsidRDefault="00C56DF1" w:rsidP="002975E8">
      <w:pPr>
        <w:pStyle w:val="NormalWeb"/>
        <w:ind w:left="360"/>
        <w:rPr>
          <w:rFonts w:ascii="Arial" w:hAnsi="Arial" w:cs="Arial"/>
          <w:sz w:val="22"/>
          <w:szCs w:val="22"/>
        </w:rPr>
      </w:pPr>
      <w:r w:rsidRPr="002975E8">
        <w:rPr>
          <w:rFonts w:ascii="Arial" w:hAnsi="Arial" w:cs="Arial"/>
          <w:sz w:val="22"/>
          <w:szCs w:val="22"/>
        </w:rPr>
        <w:t>The 2021 Reimagining Education and Career Help (REACH) Act was enacted to strengthen accountability and transparency across Florida’s workforce system. Under this framework, each Local Workforce Development Board receives an annual performance score and corresponding letter grade. The Governor’s REACH Office establishes the grading criteria, and the CareerSource Florida Board of Directors assigns and publicly releases the final grades.</w:t>
      </w:r>
    </w:p>
    <w:p w14:paraId="4AB41757" w14:textId="77777777" w:rsidR="00C56DF1" w:rsidRPr="002975E8" w:rsidRDefault="00C56DF1" w:rsidP="002975E8">
      <w:pPr>
        <w:pStyle w:val="NormalWeb"/>
        <w:ind w:left="360"/>
        <w:rPr>
          <w:rFonts w:ascii="Arial" w:hAnsi="Arial" w:cs="Arial"/>
          <w:sz w:val="22"/>
          <w:szCs w:val="22"/>
        </w:rPr>
      </w:pPr>
    </w:p>
    <w:p w14:paraId="2CACB48F" w14:textId="0CAFDCBA" w:rsidR="00C56DF1" w:rsidRPr="002975E8" w:rsidRDefault="00C56DF1" w:rsidP="002975E8">
      <w:pPr>
        <w:pStyle w:val="NormalWeb"/>
        <w:ind w:left="360"/>
        <w:rPr>
          <w:rFonts w:ascii="Arial" w:hAnsi="Arial" w:cs="Arial"/>
          <w:sz w:val="22"/>
          <w:szCs w:val="22"/>
        </w:rPr>
      </w:pPr>
      <w:r w:rsidRPr="002975E8">
        <w:rPr>
          <w:rFonts w:ascii="Arial" w:hAnsi="Arial" w:cs="Arial"/>
          <w:sz w:val="22"/>
          <w:szCs w:val="22"/>
        </w:rPr>
        <w:t>CareerSource Okaloosa Walton continues to demonstrate measurable and sustained improvement under the REACH accountability model. Over the past three program years, CSOW’s annual score has steadily increased:</w:t>
      </w:r>
    </w:p>
    <w:p w14:paraId="0515F28F" w14:textId="7C7861E8" w:rsidR="00C56DF1" w:rsidRPr="00C56DF1" w:rsidRDefault="00C56DF1" w:rsidP="00C56DF1">
      <w:pPr>
        <w:pStyle w:val="Heading1"/>
        <w:jc w:val="center"/>
        <w:rPr>
          <w:rFonts w:ascii="Arial" w:hAnsi="Arial" w:cs="Arial"/>
          <w:color w:val="auto"/>
          <w:sz w:val="24"/>
          <w:szCs w:val="24"/>
        </w:rPr>
      </w:pPr>
      <w:r w:rsidRPr="00C56DF1">
        <w:rPr>
          <w:rFonts w:ascii="Arial" w:hAnsi="Arial" w:cs="Arial"/>
          <w:color w:val="auto"/>
          <w:sz w:val="24"/>
          <w:szCs w:val="24"/>
        </w:rPr>
        <w:t xml:space="preserve">REACH Act Letter Grade </w:t>
      </w:r>
      <w:r w:rsidR="00766F6B">
        <w:rPr>
          <w:rFonts w:ascii="Arial" w:hAnsi="Arial" w:cs="Arial"/>
          <w:color w:val="auto"/>
          <w:sz w:val="24"/>
          <w:szCs w:val="24"/>
        </w:rPr>
        <w:t>Annual Scores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690"/>
        <w:gridCol w:w="1690"/>
        <w:gridCol w:w="1690"/>
        <w:gridCol w:w="1655"/>
      </w:tblGrid>
      <w:tr w:rsidR="00C56DF1" w:rsidRPr="00C56DF1" w14:paraId="388999BB" w14:textId="77777777" w:rsidTr="00C56DF1">
        <w:trPr>
          <w:trHeight w:val="1254"/>
        </w:trPr>
        <w:tc>
          <w:tcPr>
            <w:tcW w:w="2018" w:type="dxa"/>
            <w:shd w:val="clear" w:color="auto" w:fill="8DB3E2" w:themeFill="text2" w:themeFillTint="66"/>
          </w:tcPr>
          <w:p w14:paraId="362F5089" w14:textId="77777777" w:rsidR="00C56DF1" w:rsidRPr="00C56DF1" w:rsidRDefault="00C56DF1" w:rsidP="00C550B0">
            <w:pPr>
              <w:rPr>
                <w:rFonts w:ascii="Arial" w:hAnsi="Arial" w:cs="Arial"/>
                <w:b/>
                <w:bCs/>
                <w:color w:val="FFFFFF"/>
              </w:rPr>
            </w:pPr>
            <w:r w:rsidRPr="00C56DF1">
              <w:rPr>
                <w:rFonts w:ascii="Arial" w:hAnsi="Arial" w:cs="Arial"/>
                <w:b/>
                <w:bCs/>
                <w:color w:val="FFFFFF"/>
              </w:rPr>
              <w:t>Local Workforce Development Board</w:t>
            </w:r>
          </w:p>
        </w:tc>
        <w:tc>
          <w:tcPr>
            <w:tcW w:w="2018" w:type="dxa"/>
            <w:shd w:val="clear" w:color="auto" w:fill="8DB3E2" w:themeFill="text2" w:themeFillTint="66"/>
          </w:tcPr>
          <w:p w14:paraId="50316937" w14:textId="77777777" w:rsidR="00C56DF1" w:rsidRPr="00C56DF1" w:rsidRDefault="00C56DF1" w:rsidP="00C550B0">
            <w:pPr>
              <w:rPr>
                <w:rFonts w:ascii="Arial" w:hAnsi="Arial" w:cs="Arial"/>
                <w:b/>
                <w:bCs/>
                <w:color w:val="FFFFFF"/>
              </w:rPr>
            </w:pPr>
            <w:r w:rsidRPr="00C56DF1">
              <w:rPr>
                <w:rFonts w:ascii="Arial" w:hAnsi="Arial" w:cs="Arial"/>
                <w:b/>
                <w:bCs/>
                <w:color w:val="FFFFFF"/>
              </w:rPr>
              <w:t>PY 2022 Annual Score (%)</w:t>
            </w:r>
          </w:p>
        </w:tc>
        <w:tc>
          <w:tcPr>
            <w:tcW w:w="2018" w:type="dxa"/>
            <w:shd w:val="clear" w:color="auto" w:fill="8DB3E2" w:themeFill="text2" w:themeFillTint="66"/>
          </w:tcPr>
          <w:p w14:paraId="129E4DD5" w14:textId="77777777" w:rsidR="00C56DF1" w:rsidRPr="00C56DF1" w:rsidRDefault="00C56DF1" w:rsidP="00C550B0">
            <w:pPr>
              <w:rPr>
                <w:rFonts w:ascii="Arial" w:hAnsi="Arial" w:cs="Arial"/>
                <w:b/>
                <w:bCs/>
                <w:color w:val="FFFFFF"/>
              </w:rPr>
            </w:pPr>
            <w:r w:rsidRPr="00C56DF1">
              <w:rPr>
                <w:rFonts w:ascii="Arial" w:hAnsi="Arial" w:cs="Arial"/>
                <w:b/>
                <w:bCs/>
                <w:color w:val="FFFFFF"/>
              </w:rPr>
              <w:t>PY 2023 Annual Score (%)</w:t>
            </w:r>
          </w:p>
        </w:tc>
        <w:tc>
          <w:tcPr>
            <w:tcW w:w="2018" w:type="dxa"/>
            <w:shd w:val="clear" w:color="auto" w:fill="8DB3E2" w:themeFill="text2" w:themeFillTint="66"/>
          </w:tcPr>
          <w:p w14:paraId="5E1C989A" w14:textId="77777777" w:rsidR="00C56DF1" w:rsidRPr="00C56DF1" w:rsidRDefault="00C56DF1" w:rsidP="00C550B0">
            <w:pPr>
              <w:rPr>
                <w:rFonts w:ascii="Arial" w:hAnsi="Arial" w:cs="Arial"/>
                <w:b/>
                <w:bCs/>
                <w:color w:val="FFFFFF"/>
              </w:rPr>
            </w:pPr>
            <w:r w:rsidRPr="00C56DF1">
              <w:rPr>
                <w:rFonts w:ascii="Arial" w:hAnsi="Arial" w:cs="Arial"/>
                <w:b/>
                <w:bCs/>
                <w:color w:val="FFFFFF"/>
              </w:rPr>
              <w:t>PY 2024 Annual Score (%)</w:t>
            </w:r>
          </w:p>
        </w:tc>
        <w:tc>
          <w:tcPr>
            <w:tcW w:w="2018" w:type="dxa"/>
            <w:shd w:val="clear" w:color="auto" w:fill="8DB3E2" w:themeFill="text2" w:themeFillTint="66"/>
          </w:tcPr>
          <w:p w14:paraId="0A173CF1" w14:textId="77777777" w:rsidR="00C56DF1" w:rsidRPr="00C56DF1" w:rsidRDefault="00C56DF1" w:rsidP="00C550B0">
            <w:pPr>
              <w:rPr>
                <w:rFonts w:ascii="Arial" w:hAnsi="Arial" w:cs="Arial"/>
                <w:b/>
                <w:bCs/>
                <w:color w:val="FFFFFF"/>
              </w:rPr>
            </w:pPr>
            <w:r w:rsidRPr="00C56DF1">
              <w:rPr>
                <w:rFonts w:ascii="Arial" w:hAnsi="Arial" w:cs="Arial"/>
                <w:b/>
                <w:bCs/>
                <w:color w:val="FFFFFF"/>
              </w:rPr>
              <w:t>Letter Grade</w:t>
            </w:r>
          </w:p>
        </w:tc>
      </w:tr>
      <w:tr w:rsidR="00C56DF1" w:rsidRPr="00C56DF1" w14:paraId="01EB0723" w14:textId="77777777" w:rsidTr="00C550B0">
        <w:trPr>
          <w:trHeight w:val="945"/>
        </w:trPr>
        <w:tc>
          <w:tcPr>
            <w:tcW w:w="2018" w:type="dxa"/>
          </w:tcPr>
          <w:p w14:paraId="11DB6CE9" w14:textId="77777777" w:rsidR="00C56DF1" w:rsidRPr="00C56DF1" w:rsidRDefault="00C56DF1" w:rsidP="00C550B0">
            <w:pPr>
              <w:rPr>
                <w:rFonts w:ascii="Arial" w:hAnsi="Arial" w:cs="Arial"/>
                <w:b/>
                <w:bCs/>
              </w:rPr>
            </w:pPr>
            <w:r w:rsidRPr="00C56DF1">
              <w:rPr>
                <w:rFonts w:ascii="Arial" w:hAnsi="Arial" w:cs="Arial"/>
                <w:b/>
                <w:bCs/>
              </w:rPr>
              <w:t>CareerSource Okaloosa Walton</w:t>
            </w:r>
          </w:p>
        </w:tc>
        <w:tc>
          <w:tcPr>
            <w:tcW w:w="2018" w:type="dxa"/>
          </w:tcPr>
          <w:p w14:paraId="29EDCF2F" w14:textId="77777777" w:rsidR="00C56DF1" w:rsidRPr="00C56DF1" w:rsidRDefault="00C56DF1" w:rsidP="00C550B0">
            <w:pPr>
              <w:rPr>
                <w:rFonts w:ascii="Arial" w:hAnsi="Arial" w:cs="Arial"/>
                <w:b/>
                <w:bCs/>
              </w:rPr>
            </w:pPr>
            <w:r w:rsidRPr="00C56DF1">
              <w:rPr>
                <w:rFonts w:ascii="Arial" w:hAnsi="Arial" w:cs="Arial"/>
                <w:b/>
                <w:bCs/>
              </w:rPr>
              <w:t>89.18%</w:t>
            </w:r>
          </w:p>
        </w:tc>
        <w:tc>
          <w:tcPr>
            <w:tcW w:w="2018" w:type="dxa"/>
          </w:tcPr>
          <w:p w14:paraId="2331FBD1" w14:textId="77777777" w:rsidR="00C56DF1" w:rsidRPr="00C56DF1" w:rsidRDefault="00C56DF1" w:rsidP="00C550B0">
            <w:pPr>
              <w:rPr>
                <w:rFonts w:ascii="Arial" w:hAnsi="Arial" w:cs="Arial"/>
                <w:b/>
                <w:bCs/>
              </w:rPr>
            </w:pPr>
            <w:r w:rsidRPr="00C56DF1">
              <w:rPr>
                <w:rFonts w:ascii="Arial" w:hAnsi="Arial" w:cs="Arial"/>
                <w:b/>
                <w:bCs/>
              </w:rPr>
              <w:t>91.78%</w:t>
            </w:r>
          </w:p>
        </w:tc>
        <w:tc>
          <w:tcPr>
            <w:tcW w:w="2018" w:type="dxa"/>
          </w:tcPr>
          <w:p w14:paraId="4F964E2D" w14:textId="77777777" w:rsidR="00C56DF1" w:rsidRPr="00C56DF1" w:rsidRDefault="00C56DF1" w:rsidP="00C550B0">
            <w:pPr>
              <w:rPr>
                <w:rFonts w:ascii="Arial" w:hAnsi="Arial" w:cs="Arial"/>
                <w:b/>
                <w:bCs/>
              </w:rPr>
            </w:pPr>
            <w:r w:rsidRPr="00C56DF1">
              <w:rPr>
                <w:rFonts w:ascii="Arial" w:hAnsi="Arial" w:cs="Arial"/>
                <w:b/>
                <w:bCs/>
              </w:rPr>
              <w:t>93.38%</w:t>
            </w:r>
          </w:p>
        </w:tc>
        <w:tc>
          <w:tcPr>
            <w:tcW w:w="2018" w:type="dxa"/>
          </w:tcPr>
          <w:p w14:paraId="5441F89A" w14:textId="77777777" w:rsidR="00C56DF1" w:rsidRPr="00C56DF1" w:rsidRDefault="00C56DF1" w:rsidP="00C550B0">
            <w:pPr>
              <w:rPr>
                <w:rFonts w:ascii="Arial" w:hAnsi="Arial" w:cs="Arial"/>
                <w:b/>
                <w:bCs/>
              </w:rPr>
            </w:pPr>
            <w:r w:rsidRPr="00C56DF1">
              <w:rPr>
                <w:rFonts w:ascii="Arial" w:hAnsi="Arial" w:cs="Arial"/>
                <w:b/>
                <w:bCs/>
              </w:rPr>
              <w:t>A</w:t>
            </w:r>
          </w:p>
        </w:tc>
      </w:tr>
    </w:tbl>
    <w:p w14:paraId="7FC59072" w14:textId="77777777" w:rsidR="00C56DF1" w:rsidRPr="00C56DF1" w:rsidRDefault="00C56DF1" w:rsidP="00F637A1">
      <w:pPr>
        <w:spacing w:before="100" w:beforeAutospacing="1" w:after="100" w:afterAutospacing="1"/>
        <w:rPr>
          <w:rFonts w:ascii="Arial" w:hAnsi="Arial" w:cs="Arial"/>
        </w:rPr>
      </w:pPr>
      <w:r w:rsidRPr="00C56DF1">
        <w:rPr>
          <w:rFonts w:ascii="Arial" w:hAnsi="Arial" w:cs="Arial"/>
        </w:rPr>
        <w:t>With a score of 93.38%, CareerSource Okaloosa Walton ranked 7th out of 21 workforce development boards statewide, placing the Board in the top tier of Florida’s workforce system.</w:t>
      </w:r>
    </w:p>
    <w:p w14:paraId="79DC1DCB" w14:textId="5B58DDB3" w:rsidR="00C56DF1" w:rsidRPr="00F637A1" w:rsidRDefault="00C56DF1" w:rsidP="00F637A1">
      <w:pPr>
        <w:spacing w:before="100" w:beforeAutospacing="1" w:after="100" w:afterAutospacing="1"/>
        <w:rPr>
          <w:rFonts w:ascii="Arial" w:hAnsi="Arial" w:cs="Arial"/>
        </w:rPr>
      </w:pPr>
      <w:r w:rsidRPr="00C56DF1">
        <w:rPr>
          <w:rFonts w:ascii="Arial" w:hAnsi="Arial" w:cs="Arial"/>
        </w:rPr>
        <w:t xml:space="preserve">This consistent upward trajectory reflects strengthened internal controls, enhanced performance monitoring, improved employment and credential outcomes, and disciplined fiscal management. Achieving an A grade and </w:t>
      </w:r>
      <w:proofErr w:type="gramStart"/>
      <w:r w:rsidRPr="00C56DF1">
        <w:rPr>
          <w:rFonts w:ascii="Arial" w:hAnsi="Arial" w:cs="Arial"/>
        </w:rPr>
        <w:t>top-seven</w:t>
      </w:r>
      <w:proofErr w:type="gramEnd"/>
      <w:r w:rsidRPr="00C56DF1">
        <w:rPr>
          <w:rFonts w:ascii="Arial" w:hAnsi="Arial" w:cs="Arial"/>
        </w:rPr>
        <w:t xml:space="preserve"> statewide ranking demonstrates CSOW’s commitment to continuous improvement and its ability to deliver high-quality, accountable workforce services to the communities of Okaloosa and Walton Counties.</w:t>
      </w:r>
    </w:p>
    <w:p w14:paraId="63DD5F8D" w14:textId="2D9FEF22" w:rsidR="00C56DF1" w:rsidRPr="00C56DF1" w:rsidRDefault="00C56DF1" w:rsidP="002975E8">
      <w:pPr>
        <w:pStyle w:val="NormalWeb"/>
        <w:numPr>
          <w:ilvl w:val="0"/>
          <w:numId w:val="22"/>
        </w:numPr>
        <w:rPr>
          <w:rFonts w:ascii="Arial" w:hAnsi="Arial" w:cs="Arial"/>
          <w:b/>
          <w:bCs/>
        </w:rPr>
      </w:pPr>
      <w:r w:rsidRPr="00C56DF1">
        <w:rPr>
          <w:rFonts w:ascii="Arial" w:hAnsi="Arial" w:cs="Arial"/>
          <w:b/>
          <w:bCs/>
        </w:rPr>
        <w:t>Military &amp; Veteran Workforce Excellence – Purple Star Designation</w:t>
      </w:r>
    </w:p>
    <w:p w14:paraId="3B0378D4" w14:textId="77777777" w:rsidR="00C56DF1" w:rsidRPr="00C56DF1" w:rsidRDefault="00C56DF1" w:rsidP="00C56DF1">
      <w:pPr>
        <w:pStyle w:val="NormalWeb"/>
        <w:rPr>
          <w:rFonts w:ascii="Arial" w:hAnsi="Arial" w:cs="Arial"/>
          <w:b/>
          <w:bCs/>
        </w:rPr>
      </w:pPr>
    </w:p>
    <w:p w14:paraId="6D8756A3" w14:textId="49BA6540" w:rsidR="00C56DF1" w:rsidRPr="002975E8" w:rsidRDefault="00C56DF1" w:rsidP="002975E8">
      <w:pPr>
        <w:pStyle w:val="NormalWeb"/>
        <w:ind w:left="360"/>
        <w:rPr>
          <w:rFonts w:ascii="Arial" w:hAnsi="Arial" w:cs="Arial"/>
          <w:sz w:val="22"/>
          <w:szCs w:val="22"/>
        </w:rPr>
      </w:pPr>
      <w:r w:rsidRPr="002975E8">
        <w:rPr>
          <w:rFonts w:ascii="Arial" w:hAnsi="Arial" w:cs="Arial"/>
          <w:sz w:val="22"/>
          <w:szCs w:val="22"/>
        </w:rPr>
        <w:t>In Program Year 2024–2025, CareerSource Okaloosa Walton was recognized as one of five Local Workforce Development Boards in Florida to receive the Purple Star Workforce Board designation.</w:t>
      </w:r>
    </w:p>
    <w:p w14:paraId="7C13A977"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The Purple Star designation recognizes workforce boards that demonstrate exceptional commitment to serving:</w:t>
      </w:r>
    </w:p>
    <w:p w14:paraId="19593CFC" w14:textId="77777777" w:rsidR="00C56DF1" w:rsidRPr="00C56DF1" w:rsidRDefault="00C56DF1" w:rsidP="002975E8">
      <w:pPr>
        <w:numPr>
          <w:ilvl w:val="0"/>
          <w:numId w:val="14"/>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Transitioning Service Members</w:t>
      </w:r>
    </w:p>
    <w:p w14:paraId="0F8541AD" w14:textId="77777777" w:rsidR="00C56DF1" w:rsidRPr="00C56DF1" w:rsidRDefault="00C56DF1" w:rsidP="002975E8">
      <w:pPr>
        <w:numPr>
          <w:ilvl w:val="0"/>
          <w:numId w:val="14"/>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Veterans</w:t>
      </w:r>
    </w:p>
    <w:p w14:paraId="0635512F" w14:textId="77777777" w:rsidR="00C56DF1" w:rsidRPr="00C56DF1" w:rsidRDefault="00C56DF1" w:rsidP="002975E8">
      <w:pPr>
        <w:numPr>
          <w:ilvl w:val="0"/>
          <w:numId w:val="14"/>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Military Spouses</w:t>
      </w:r>
    </w:p>
    <w:p w14:paraId="4678288E" w14:textId="77777777" w:rsidR="00C56DF1" w:rsidRPr="00C56DF1" w:rsidRDefault="00C56DF1" w:rsidP="002975E8">
      <w:pPr>
        <w:numPr>
          <w:ilvl w:val="0"/>
          <w:numId w:val="14"/>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Military-Connected Families</w:t>
      </w:r>
    </w:p>
    <w:p w14:paraId="0AB89712" w14:textId="77777777" w:rsidR="00C56DF1" w:rsidRPr="002975E8"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This recognition reflects CSOW’s strong partnerships with Eglin Air Force Base, Hurlburt Field, and regional veteran-serving organizations, as well as measurable outcomes in employment placement, credential attainment, and military spouse engagement.</w:t>
      </w:r>
    </w:p>
    <w:p w14:paraId="7D365F01" w14:textId="7D1C3B7D" w:rsidR="00C56DF1" w:rsidRPr="00F637A1" w:rsidRDefault="00C56DF1" w:rsidP="00F637A1">
      <w:pPr>
        <w:spacing w:before="100" w:beforeAutospacing="1" w:after="100" w:afterAutospacing="1" w:line="240" w:lineRule="auto"/>
        <w:ind w:left="360"/>
        <w:rPr>
          <w:rFonts w:ascii="Arial" w:eastAsia="Times New Roman" w:hAnsi="Arial" w:cs="Arial"/>
          <w:sz w:val="24"/>
          <w:szCs w:val="24"/>
        </w:rPr>
      </w:pPr>
      <w:r w:rsidRPr="002975E8">
        <w:rPr>
          <w:rFonts w:ascii="Arial" w:hAnsi="Arial" w:cs="Arial"/>
        </w:rPr>
        <w:t>While this report reflects Program Year 2024–2025 performance, it is noteworthy that in the subsequent Program Year 2025–2026, CareerSource Okaloosa Walton was the only workforce board statewide to earn the Purple Star Workforce Board designation, demonstrating continued advancement in military-focused workforce strategies</w:t>
      </w:r>
      <w:r w:rsidRPr="00C56DF1">
        <w:rPr>
          <w:rFonts w:ascii="Arial" w:hAnsi="Arial" w:cs="Arial"/>
        </w:rPr>
        <w:t>.</w:t>
      </w:r>
    </w:p>
    <w:p w14:paraId="6F1AFF5E" w14:textId="30C30C2A" w:rsidR="00F31A4F" w:rsidRPr="00F637A1" w:rsidRDefault="00C56DF1" w:rsidP="00C56DF1">
      <w:pPr>
        <w:pStyle w:val="ListParagraph"/>
        <w:numPr>
          <w:ilvl w:val="0"/>
          <w:numId w:val="22"/>
        </w:numPr>
        <w:rPr>
          <w:rFonts w:ascii="Arial" w:hAnsi="Arial" w:cs="Arial"/>
          <w:b/>
          <w:bCs/>
          <w:sz w:val="24"/>
          <w:szCs w:val="24"/>
        </w:rPr>
      </w:pPr>
      <w:r w:rsidRPr="00C56DF1">
        <w:rPr>
          <w:rFonts w:ascii="Arial" w:hAnsi="Arial" w:cs="Arial"/>
          <w:b/>
          <w:bCs/>
          <w:sz w:val="24"/>
          <w:szCs w:val="24"/>
        </w:rPr>
        <w:t>Other Required Performance Metrics</w:t>
      </w:r>
    </w:p>
    <w:p w14:paraId="5A4D2A81" w14:textId="77777777" w:rsidR="00C56DF1" w:rsidRPr="00C56DF1" w:rsidRDefault="009005DD" w:rsidP="002975E8">
      <w:pPr>
        <w:ind w:left="360"/>
        <w:rPr>
          <w:rFonts w:ascii="Arial" w:hAnsi="Arial" w:cs="Arial"/>
        </w:rPr>
      </w:pPr>
      <w:r w:rsidRPr="00C56DF1">
        <w:rPr>
          <w:rFonts w:ascii="Arial" w:hAnsi="Arial" w:cs="Arial"/>
        </w:rPr>
        <w:t>CSOW met or exceeded all statutory expenditure benchmarks:</w:t>
      </w:r>
    </w:p>
    <w:tbl>
      <w:tblPr>
        <w:tblW w:w="916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350"/>
        <w:gridCol w:w="1260"/>
        <w:gridCol w:w="1260"/>
        <w:gridCol w:w="1080"/>
        <w:gridCol w:w="1260"/>
      </w:tblGrid>
      <w:tr w:rsidR="00C56DF1" w:rsidRPr="00C56DF1" w14:paraId="2F56B95C" w14:textId="77777777" w:rsidTr="002975E8">
        <w:tc>
          <w:tcPr>
            <w:tcW w:w="2952" w:type="dxa"/>
            <w:shd w:val="clear" w:color="auto" w:fill="8DB3E2" w:themeFill="text2" w:themeFillTint="66"/>
          </w:tcPr>
          <w:p w14:paraId="5D648AA0" w14:textId="77777777" w:rsidR="00C56DF1" w:rsidRPr="00C56DF1" w:rsidRDefault="00C56DF1" w:rsidP="00C550B0">
            <w:pPr>
              <w:jc w:val="center"/>
              <w:rPr>
                <w:rFonts w:ascii="Arial" w:hAnsi="Arial" w:cs="Arial"/>
                <w:b/>
                <w:bCs/>
                <w:color w:val="FFFFFF" w:themeColor="background1"/>
              </w:rPr>
            </w:pPr>
            <w:r w:rsidRPr="00C56DF1">
              <w:rPr>
                <w:rFonts w:ascii="Arial" w:hAnsi="Arial" w:cs="Arial"/>
                <w:b/>
                <w:bCs/>
                <w:color w:val="FFFFFF" w:themeColor="background1"/>
              </w:rPr>
              <w:t>Metric</w:t>
            </w:r>
          </w:p>
        </w:tc>
        <w:tc>
          <w:tcPr>
            <w:tcW w:w="1350" w:type="dxa"/>
            <w:shd w:val="clear" w:color="auto" w:fill="8DB3E2" w:themeFill="text2" w:themeFillTint="66"/>
          </w:tcPr>
          <w:p w14:paraId="75270E50" w14:textId="77777777" w:rsidR="00C56DF1" w:rsidRPr="00C56DF1" w:rsidRDefault="00C56DF1" w:rsidP="00C550B0">
            <w:pPr>
              <w:jc w:val="center"/>
              <w:rPr>
                <w:rFonts w:ascii="Arial" w:hAnsi="Arial" w:cs="Arial"/>
                <w:b/>
                <w:bCs/>
                <w:color w:val="FFFFFF" w:themeColor="background1"/>
              </w:rPr>
            </w:pPr>
            <w:r w:rsidRPr="00C56DF1">
              <w:rPr>
                <w:rFonts w:ascii="Arial" w:hAnsi="Arial" w:cs="Arial"/>
                <w:b/>
                <w:bCs/>
                <w:color w:val="FFFFFF" w:themeColor="background1"/>
              </w:rPr>
              <w:t>Goal</w:t>
            </w:r>
          </w:p>
        </w:tc>
        <w:tc>
          <w:tcPr>
            <w:tcW w:w="1260" w:type="dxa"/>
            <w:shd w:val="clear" w:color="auto" w:fill="8DB3E2" w:themeFill="text2" w:themeFillTint="66"/>
          </w:tcPr>
          <w:p w14:paraId="765D0C5E" w14:textId="77777777" w:rsidR="00C56DF1" w:rsidRPr="00C56DF1" w:rsidRDefault="00C56DF1" w:rsidP="00C550B0">
            <w:pPr>
              <w:jc w:val="center"/>
              <w:rPr>
                <w:rFonts w:ascii="Arial" w:hAnsi="Arial" w:cs="Arial"/>
                <w:b/>
                <w:bCs/>
                <w:color w:val="FFFFFF" w:themeColor="background1"/>
              </w:rPr>
            </w:pPr>
            <w:r w:rsidRPr="00C56DF1">
              <w:rPr>
                <w:rFonts w:ascii="Arial" w:hAnsi="Arial" w:cs="Arial"/>
                <w:b/>
                <w:bCs/>
                <w:color w:val="FFFFFF" w:themeColor="background1"/>
              </w:rPr>
              <w:t>Outcome</w:t>
            </w:r>
          </w:p>
        </w:tc>
        <w:tc>
          <w:tcPr>
            <w:tcW w:w="1260" w:type="dxa"/>
            <w:shd w:val="clear" w:color="auto" w:fill="8DB3E2" w:themeFill="text2" w:themeFillTint="66"/>
          </w:tcPr>
          <w:p w14:paraId="6AB07558" w14:textId="77777777" w:rsidR="00C56DF1" w:rsidRPr="00C56DF1" w:rsidRDefault="00C56DF1" w:rsidP="00C550B0">
            <w:pPr>
              <w:jc w:val="center"/>
              <w:rPr>
                <w:rFonts w:ascii="Arial" w:hAnsi="Arial" w:cs="Arial"/>
                <w:b/>
                <w:bCs/>
                <w:color w:val="FFFFFF" w:themeColor="background1"/>
              </w:rPr>
            </w:pPr>
            <w:r w:rsidRPr="00C56DF1">
              <w:rPr>
                <w:rFonts w:ascii="Arial" w:hAnsi="Arial" w:cs="Arial"/>
                <w:b/>
                <w:bCs/>
                <w:color w:val="FFFFFF" w:themeColor="background1"/>
              </w:rPr>
              <w:t>Not Met</w:t>
            </w:r>
          </w:p>
        </w:tc>
        <w:tc>
          <w:tcPr>
            <w:tcW w:w="1080" w:type="dxa"/>
            <w:shd w:val="clear" w:color="auto" w:fill="8DB3E2" w:themeFill="text2" w:themeFillTint="66"/>
          </w:tcPr>
          <w:p w14:paraId="0E92B346" w14:textId="77777777" w:rsidR="00C56DF1" w:rsidRPr="00C56DF1" w:rsidRDefault="00C56DF1" w:rsidP="00C550B0">
            <w:pPr>
              <w:jc w:val="center"/>
              <w:rPr>
                <w:rFonts w:ascii="Arial" w:hAnsi="Arial" w:cs="Arial"/>
                <w:b/>
                <w:bCs/>
                <w:color w:val="FFFFFF" w:themeColor="background1"/>
              </w:rPr>
            </w:pPr>
            <w:r w:rsidRPr="00C56DF1">
              <w:rPr>
                <w:rFonts w:ascii="Arial" w:hAnsi="Arial" w:cs="Arial"/>
                <w:b/>
                <w:bCs/>
                <w:color w:val="FFFFFF" w:themeColor="background1"/>
              </w:rPr>
              <w:t>Met</w:t>
            </w:r>
          </w:p>
        </w:tc>
        <w:tc>
          <w:tcPr>
            <w:tcW w:w="1260" w:type="dxa"/>
            <w:shd w:val="clear" w:color="auto" w:fill="8DB3E2" w:themeFill="text2" w:themeFillTint="66"/>
          </w:tcPr>
          <w:p w14:paraId="2CF43309" w14:textId="77777777" w:rsidR="00C56DF1" w:rsidRPr="00C56DF1" w:rsidRDefault="00C56DF1" w:rsidP="00C550B0">
            <w:pPr>
              <w:jc w:val="center"/>
              <w:rPr>
                <w:rFonts w:ascii="Arial" w:hAnsi="Arial" w:cs="Arial"/>
                <w:b/>
                <w:bCs/>
                <w:color w:val="FFFFFF" w:themeColor="background1"/>
              </w:rPr>
            </w:pPr>
            <w:r w:rsidRPr="00C56DF1">
              <w:rPr>
                <w:rFonts w:ascii="Arial" w:hAnsi="Arial" w:cs="Arial"/>
                <w:b/>
                <w:bCs/>
                <w:color w:val="FFFFFF" w:themeColor="background1"/>
              </w:rPr>
              <w:t>Exceeded</w:t>
            </w:r>
          </w:p>
        </w:tc>
      </w:tr>
      <w:tr w:rsidR="00C56DF1" w:rsidRPr="00C56DF1" w14:paraId="74492F65" w14:textId="77777777" w:rsidTr="002975E8">
        <w:tc>
          <w:tcPr>
            <w:tcW w:w="2952" w:type="dxa"/>
          </w:tcPr>
          <w:p w14:paraId="04B87636" w14:textId="77777777" w:rsidR="00C56DF1" w:rsidRPr="00C56DF1" w:rsidRDefault="00C56DF1" w:rsidP="00C550B0">
            <w:pPr>
              <w:rPr>
                <w:rFonts w:ascii="Arial" w:hAnsi="Arial" w:cs="Arial"/>
                <w:b/>
                <w:bCs/>
                <w:sz w:val="20"/>
                <w:szCs w:val="20"/>
                <w:u w:val="single"/>
              </w:rPr>
            </w:pPr>
            <w:r w:rsidRPr="00C56DF1">
              <w:rPr>
                <w:rFonts w:ascii="Arial" w:hAnsi="Arial" w:cs="Arial"/>
                <w:bCs/>
                <w:sz w:val="20"/>
                <w:szCs w:val="20"/>
              </w:rPr>
              <w:t>Individual Training Account Expenditure</w:t>
            </w:r>
          </w:p>
        </w:tc>
        <w:tc>
          <w:tcPr>
            <w:tcW w:w="1350" w:type="dxa"/>
          </w:tcPr>
          <w:p w14:paraId="339B9756"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30%</w:t>
            </w:r>
          </w:p>
        </w:tc>
        <w:tc>
          <w:tcPr>
            <w:tcW w:w="1260" w:type="dxa"/>
          </w:tcPr>
          <w:p w14:paraId="73098E0A"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34%</w:t>
            </w:r>
          </w:p>
        </w:tc>
        <w:tc>
          <w:tcPr>
            <w:tcW w:w="1260" w:type="dxa"/>
            <w:shd w:val="clear" w:color="auto" w:fill="D9D9D9"/>
          </w:tcPr>
          <w:p w14:paraId="509B00A1" w14:textId="77777777" w:rsidR="00C56DF1" w:rsidRPr="00C56DF1" w:rsidRDefault="00C56DF1" w:rsidP="00C550B0">
            <w:pPr>
              <w:jc w:val="center"/>
              <w:rPr>
                <w:rFonts w:ascii="Arial" w:hAnsi="Arial" w:cs="Arial"/>
                <w:b/>
                <w:bCs/>
                <w:sz w:val="20"/>
                <w:szCs w:val="20"/>
                <w:u w:val="single"/>
              </w:rPr>
            </w:pPr>
          </w:p>
        </w:tc>
        <w:tc>
          <w:tcPr>
            <w:tcW w:w="1080" w:type="dxa"/>
            <w:shd w:val="clear" w:color="auto" w:fill="D9D9D9"/>
          </w:tcPr>
          <w:p w14:paraId="65740903" w14:textId="77777777" w:rsidR="00C56DF1" w:rsidRPr="00C56DF1" w:rsidRDefault="00C56DF1" w:rsidP="00C550B0">
            <w:pPr>
              <w:jc w:val="center"/>
              <w:rPr>
                <w:rFonts w:ascii="Arial" w:hAnsi="Arial" w:cs="Arial"/>
                <w:b/>
                <w:bCs/>
                <w:sz w:val="20"/>
                <w:szCs w:val="20"/>
                <w:u w:val="single"/>
              </w:rPr>
            </w:pPr>
          </w:p>
        </w:tc>
        <w:tc>
          <w:tcPr>
            <w:tcW w:w="1260" w:type="dxa"/>
          </w:tcPr>
          <w:p w14:paraId="2F8AA0D7"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X</w:t>
            </w:r>
          </w:p>
        </w:tc>
      </w:tr>
      <w:tr w:rsidR="00C56DF1" w:rsidRPr="00C56DF1" w14:paraId="3D45FCDF" w14:textId="77777777" w:rsidTr="002975E8">
        <w:tc>
          <w:tcPr>
            <w:tcW w:w="2952" w:type="dxa"/>
          </w:tcPr>
          <w:p w14:paraId="36AC26FC" w14:textId="77777777" w:rsidR="00C56DF1" w:rsidRPr="00C56DF1" w:rsidRDefault="00C56DF1" w:rsidP="00C550B0">
            <w:pPr>
              <w:rPr>
                <w:rFonts w:ascii="Arial" w:hAnsi="Arial" w:cs="Arial"/>
                <w:b/>
                <w:bCs/>
                <w:sz w:val="20"/>
                <w:szCs w:val="20"/>
                <w:u w:val="single"/>
              </w:rPr>
            </w:pPr>
            <w:r w:rsidRPr="00C56DF1">
              <w:rPr>
                <w:rFonts w:ascii="Arial" w:hAnsi="Arial" w:cs="Arial"/>
                <w:bCs/>
                <w:sz w:val="20"/>
                <w:szCs w:val="20"/>
              </w:rPr>
              <w:t>Youth Work Experience Expenditure</w:t>
            </w:r>
          </w:p>
        </w:tc>
        <w:tc>
          <w:tcPr>
            <w:tcW w:w="1350" w:type="dxa"/>
          </w:tcPr>
          <w:p w14:paraId="05605D9A"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20%</w:t>
            </w:r>
          </w:p>
        </w:tc>
        <w:tc>
          <w:tcPr>
            <w:tcW w:w="1260" w:type="dxa"/>
          </w:tcPr>
          <w:p w14:paraId="5CF39E6E"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22%</w:t>
            </w:r>
          </w:p>
        </w:tc>
        <w:tc>
          <w:tcPr>
            <w:tcW w:w="1260" w:type="dxa"/>
            <w:shd w:val="clear" w:color="auto" w:fill="D9D9D9"/>
          </w:tcPr>
          <w:p w14:paraId="0911D8BA" w14:textId="77777777" w:rsidR="00C56DF1" w:rsidRPr="00C56DF1" w:rsidRDefault="00C56DF1" w:rsidP="00C550B0">
            <w:pPr>
              <w:jc w:val="center"/>
              <w:rPr>
                <w:rFonts w:ascii="Arial" w:hAnsi="Arial" w:cs="Arial"/>
                <w:b/>
                <w:bCs/>
                <w:sz w:val="20"/>
                <w:szCs w:val="20"/>
                <w:u w:val="single"/>
              </w:rPr>
            </w:pPr>
          </w:p>
        </w:tc>
        <w:tc>
          <w:tcPr>
            <w:tcW w:w="1080" w:type="dxa"/>
            <w:shd w:val="clear" w:color="auto" w:fill="D9D9D9"/>
          </w:tcPr>
          <w:p w14:paraId="0CB4073A" w14:textId="77777777" w:rsidR="00C56DF1" w:rsidRPr="00C56DF1" w:rsidRDefault="00C56DF1" w:rsidP="00C550B0">
            <w:pPr>
              <w:jc w:val="center"/>
              <w:rPr>
                <w:rFonts w:ascii="Arial" w:hAnsi="Arial" w:cs="Arial"/>
                <w:sz w:val="20"/>
                <w:szCs w:val="20"/>
              </w:rPr>
            </w:pPr>
          </w:p>
        </w:tc>
        <w:tc>
          <w:tcPr>
            <w:tcW w:w="1260" w:type="dxa"/>
            <w:shd w:val="clear" w:color="auto" w:fill="FFFFFF"/>
          </w:tcPr>
          <w:p w14:paraId="718603A0"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X</w:t>
            </w:r>
          </w:p>
        </w:tc>
      </w:tr>
      <w:tr w:rsidR="00C56DF1" w:rsidRPr="00C56DF1" w14:paraId="087AA924" w14:textId="77777777" w:rsidTr="002975E8">
        <w:tc>
          <w:tcPr>
            <w:tcW w:w="2952" w:type="dxa"/>
          </w:tcPr>
          <w:p w14:paraId="4102D8A5" w14:textId="77777777" w:rsidR="00C56DF1" w:rsidRPr="00C56DF1" w:rsidRDefault="00C56DF1" w:rsidP="00C550B0">
            <w:pPr>
              <w:rPr>
                <w:rFonts w:ascii="Arial" w:hAnsi="Arial" w:cs="Arial"/>
                <w:bCs/>
                <w:sz w:val="20"/>
                <w:szCs w:val="20"/>
              </w:rPr>
            </w:pPr>
            <w:r w:rsidRPr="00C56DF1">
              <w:rPr>
                <w:rFonts w:ascii="Arial" w:hAnsi="Arial" w:cs="Arial"/>
                <w:bCs/>
                <w:sz w:val="20"/>
                <w:szCs w:val="20"/>
              </w:rPr>
              <w:t>Out-of-School Youth Expenditure</w:t>
            </w:r>
          </w:p>
        </w:tc>
        <w:tc>
          <w:tcPr>
            <w:tcW w:w="1350" w:type="dxa"/>
          </w:tcPr>
          <w:p w14:paraId="253DFF6B"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50%</w:t>
            </w:r>
          </w:p>
        </w:tc>
        <w:tc>
          <w:tcPr>
            <w:tcW w:w="1260" w:type="dxa"/>
          </w:tcPr>
          <w:p w14:paraId="567C7EAA"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90%</w:t>
            </w:r>
          </w:p>
        </w:tc>
        <w:tc>
          <w:tcPr>
            <w:tcW w:w="1260" w:type="dxa"/>
            <w:shd w:val="clear" w:color="auto" w:fill="D9D9D9"/>
          </w:tcPr>
          <w:p w14:paraId="011434F3" w14:textId="77777777" w:rsidR="00C56DF1" w:rsidRPr="00C56DF1" w:rsidRDefault="00C56DF1" w:rsidP="00C550B0">
            <w:pPr>
              <w:jc w:val="center"/>
              <w:rPr>
                <w:rFonts w:ascii="Arial" w:hAnsi="Arial" w:cs="Arial"/>
                <w:b/>
                <w:bCs/>
                <w:sz w:val="20"/>
                <w:szCs w:val="20"/>
                <w:u w:val="single"/>
              </w:rPr>
            </w:pPr>
          </w:p>
        </w:tc>
        <w:tc>
          <w:tcPr>
            <w:tcW w:w="1080" w:type="dxa"/>
            <w:shd w:val="clear" w:color="auto" w:fill="D9D9D9"/>
          </w:tcPr>
          <w:p w14:paraId="7F40050C" w14:textId="77777777" w:rsidR="00C56DF1" w:rsidRPr="00C56DF1" w:rsidRDefault="00C56DF1" w:rsidP="00C550B0">
            <w:pPr>
              <w:jc w:val="center"/>
              <w:rPr>
                <w:rFonts w:ascii="Arial" w:hAnsi="Arial" w:cs="Arial"/>
                <w:sz w:val="20"/>
                <w:szCs w:val="20"/>
              </w:rPr>
            </w:pPr>
          </w:p>
        </w:tc>
        <w:tc>
          <w:tcPr>
            <w:tcW w:w="1260" w:type="dxa"/>
            <w:shd w:val="clear" w:color="auto" w:fill="FFFFFF"/>
          </w:tcPr>
          <w:p w14:paraId="560E9518"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X</w:t>
            </w:r>
          </w:p>
        </w:tc>
      </w:tr>
      <w:tr w:rsidR="00C56DF1" w:rsidRPr="00C56DF1" w14:paraId="7FAFB2BA" w14:textId="77777777" w:rsidTr="002975E8">
        <w:tc>
          <w:tcPr>
            <w:tcW w:w="2952" w:type="dxa"/>
          </w:tcPr>
          <w:p w14:paraId="64B78160" w14:textId="77777777" w:rsidR="00C56DF1" w:rsidRPr="00C56DF1" w:rsidRDefault="00C56DF1" w:rsidP="00C550B0">
            <w:pPr>
              <w:rPr>
                <w:rFonts w:ascii="Arial" w:hAnsi="Arial" w:cs="Arial"/>
                <w:bCs/>
                <w:sz w:val="20"/>
                <w:szCs w:val="20"/>
              </w:rPr>
            </w:pPr>
            <w:r w:rsidRPr="00C56DF1">
              <w:rPr>
                <w:rFonts w:ascii="Arial" w:hAnsi="Arial" w:cs="Arial"/>
                <w:bCs/>
                <w:sz w:val="20"/>
                <w:szCs w:val="20"/>
              </w:rPr>
              <w:t>CSOW Administrative Percentage</w:t>
            </w:r>
          </w:p>
        </w:tc>
        <w:tc>
          <w:tcPr>
            <w:tcW w:w="1350" w:type="dxa"/>
          </w:tcPr>
          <w:p w14:paraId="6EEB1BA9"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10%</w:t>
            </w:r>
          </w:p>
        </w:tc>
        <w:tc>
          <w:tcPr>
            <w:tcW w:w="1260" w:type="dxa"/>
          </w:tcPr>
          <w:p w14:paraId="4C910FCA"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&lt;10%</w:t>
            </w:r>
          </w:p>
        </w:tc>
        <w:tc>
          <w:tcPr>
            <w:tcW w:w="1260" w:type="dxa"/>
            <w:shd w:val="clear" w:color="auto" w:fill="D9D9D9"/>
          </w:tcPr>
          <w:p w14:paraId="741799B6" w14:textId="77777777" w:rsidR="00C56DF1" w:rsidRPr="00C56DF1" w:rsidRDefault="00C56DF1" w:rsidP="00C550B0">
            <w:pPr>
              <w:jc w:val="center"/>
              <w:rPr>
                <w:rFonts w:ascii="Arial" w:hAnsi="Arial" w:cs="Arial"/>
                <w:b/>
                <w:bCs/>
                <w:sz w:val="20"/>
                <w:szCs w:val="20"/>
                <w:u w:val="single"/>
              </w:rPr>
            </w:pPr>
          </w:p>
        </w:tc>
        <w:tc>
          <w:tcPr>
            <w:tcW w:w="1080" w:type="dxa"/>
          </w:tcPr>
          <w:p w14:paraId="4870D972" w14:textId="77777777" w:rsidR="00C56DF1" w:rsidRPr="00C56DF1" w:rsidRDefault="00C56DF1" w:rsidP="00C550B0">
            <w:pPr>
              <w:jc w:val="center"/>
              <w:rPr>
                <w:rFonts w:ascii="Arial" w:hAnsi="Arial" w:cs="Arial"/>
                <w:sz w:val="20"/>
                <w:szCs w:val="20"/>
              </w:rPr>
            </w:pPr>
            <w:r w:rsidRPr="00C56DF1">
              <w:rPr>
                <w:rFonts w:ascii="Arial" w:hAnsi="Arial" w:cs="Arial"/>
                <w:sz w:val="20"/>
                <w:szCs w:val="20"/>
              </w:rPr>
              <w:t>X</w:t>
            </w:r>
          </w:p>
        </w:tc>
        <w:tc>
          <w:tcPr>
            <w:tcW w:w="1260" w:type="dxa"/>
            <w:shd w:val="clear" w:color="auto" w:fill="D9D9D9"/>
          </w:tcPr>
          <w:p w14:paraId="2C52CDD8" w14:textId="77777777" w:rsidR="00C56DF1" w:rsidRPr="00C56DF1" w:rsidRDefault="00C56DF1" w:rsidP="00C550B0">
            <w:pPr>
              <w:jc w:val="center"/>
              <w:rPr>
                <w:rFonts w:ascii="Arial" w:hAnsi="Arial" w:cs="Arial"/>
                <w:b/>
                <w:bCs/>
                <w:sz w:val="20"/>
                <w:szCs w:val="20"/>
                <w:u w:val="single"/>
              </w:rPr>
            </w:pPr>
          </w:p>
        </w:tc>
      </w:tr>
    </w:tbl>
    <w:p w14:paraId="79C3ACD6" w14:textId="4761EC0D" w:rsidR="00F31A4F" w:rsidRPr="00766F6B" w:rsidRDefault="009005DD" w:rsidP="002975E8">
      <w:pPr>
        <w:ind w:left="360"/>
        <w:rPr>
          <w:rFonts w:ascii="Arial" w:hAnsi="Arial" w:cs="Arial"/>
        </w:rPr>
      </w:pPr>
      <w:r w:rsidRPr="00C56DF1">
        <w:rPr>
          <w:rFonts w:ascii="Arial" w:hAnsi="Arial" w:cs="Arial"/>
        </w:rPr>
        <w:br/>
      </w:r>
      <w:r w:rsidR="00766F6B" w:rsidRPr="00766F6B">
        <w:rPr>
          <w:rFonts w:ascii="Arial" w:hAnsi="Arial" w:cs="Arial"/>
        </w:rPr>
        <w:t>These expenditure outcomes demonstrate strong fiscal management and alignment with federal statutory requirements.</w:t>
      </w:r>
    </w:p>
    <w:p w14:paraId="2D28856D" w14:textId="6984A5FF" w:rsidR="00C56DF1" w:rsidRPr="002975E8" w:rsidRDefault="00C56DF1" w:rsidP="002975E8">
      <w:pPr>
        <w:pStyle w:val="ListParagraph"/>
        <w:numPr>
          <w:ilvl w:val="0"/>
          <w:numId w:val="19"/>
        </w:numPr>
        <w:spacing w:before="100" w:beforeAutospacing="1" w:after="100" w:afterAutospacing="1" w:line="240" w:lineRule="auto"/>
        <w:outlineLvl w:val="0"/>
        <w:rPr>
          <w:rFonts w:ascii="Arial" w:eastAsia="Times New Roman" w:hAnsi="Arial" w:cs="Arial"/>
          <w:b/>
          <w:bCs/>
          <w:kern w:val="36"/>
          <w:sz w:val="24"/>
          <w:szCs w:val="24"/>
        </w:rPr>
      </w:pPr>
      <w:r w:rsidRPr="002975E8">
        <w:rPr>
          <w:rFonts w:ascii="Arial" w:eastAsia="Times New Roman" w:hAnsi="Arial" w:cs="Arial"/>
          <w:b/>
          <w:bCs/>
          <w:kern w:val="36"/>
          <w:sz w:val="24"/>
          <w:szCs w:val="24"/>
        </w:rPr>
        <w:t>OVERSIGHT, MONITORING, AND INTERNAL CONTROLS</w:t>
      </w:r>
    </w:p>
    <w:p w14:paraId="06935F79" w14:textId="77777777" w:rsidR="00C56DF1" w:rsidRPr="00C56DF1" w:rsidRDefault="00C56DF1" w:rsidP="00C56DF1">
      <w:pPr>
        <w:spacing w:before="100" w:beforeAutospacing="1" w:after="100" w:afterAutospacing="1" w:line="240" w:lineRule="auto"/>
        <w:rPr>
          <w:rFonts w:ascii="Arial" w:eastAsia="Times New Roman" w:hAnsi="Arial" w:cs="Arial"/>
        </w:rPr>
      </w:pPr>
      <w:r w:rsidRPr="00C56DF1">
        <w:rPr>
          <w:rFonts w:ascii="Arial" w:eastAsia="Times New Roman" w:hAnsi="Arial" w:cs="Arial"/>
        </w:rPr>
        <w:t>In accordance with 20 CFR 679.430 and WIOA §121(d)(4)(A), CareerSource Okaloosa Walton maintains comprehensive internal controls and oversight</w:t>
      </w:r>
      <w:r w:rsidRPr="00C56DF1">
        <w:rPr>
          <w:rFonts w:ascii="Arial" w:eastAsia="Times New Roman" w:hAnsi="Arial" w:cs="Arial"/>
          <w:sz w:val="24"/>
          <w:szCs w:val="24"/>
        </w:rPr>
        <w:t xml:space="preserve"> </w:t>
      </w:r>
      <w:r w:rsidRPr="00C56DF1">
        <w:rPr>
          <w:rFonts w:ascii="Arial" w:eastAsia="Times New Roman" w:hAnsi="Arial" w:cs="Arial"/>
        </w:rPr>
        <w:t>procedures to ensure transparency, integrity, and proper management of its role as a Direct Provider of Workforce Services.</w:t>
      </w:r>
    </w:p>
    <w:p w14:paraId="5EC25343" w14:textId="494A060B" w:rsidR="00C56DF1" w:rsidRPr="002975E8" w:rsidRDefault="00C56DF1" w:rsidP="002975E8">
      <w:pPr>
        <w:pStyle w:val="ListParagraph"/>
        <w:numPr>
          <w:ilvl w:val="0"/>
          <w:numId w:val="23"/>
        </w:numPr>
        <w:spacing w:before="100" w:beforeAutospacing="1" w:after="100" w:afterAutospacing="1" w:line="240" w:lineRule="auto"/>
        <w:outlineLvl w:val="1"/>
        <w:rPr>
          <w:rFonts w:ascii="Arial" w:eastAsia="Times New Roman" w:hAnsi="Arial" w:cs="Arial"/>
          <w:b/>
          <w:bCs/>
        </w:rPr>
      </w:pPr>
      <w:r w:rsidRPr="002975E8">
        <w:rPr>
          <w:rFonts w:ascii="Arial" w:eastAsia="Times New Roman" w:hAnsi="Arial" w:cs="Arial"/>
          <w:b/>
          <w:bCs/>
        </w:rPr>
        <w:t>Governance &amp; Accountability</w:t>
      </w:r>
    </w:p>
    <w:p w14:paraId="600114EB"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 xml:space="preserve">The Board of Directors maintains oversight responsibility while operational management is conducted by professional staff under the direction of the Executive Director. This structure ensures a clear separation between oversight and </w:t>
      </w:r>
      <w:proofErr w:type="gramStart"/>
      <w:r w:rsidRPr="00C56DF1">
        <w:rPr>
          <w:rFonts w:ascii="Arial" w:eastAsia="Times New Roman" w:hAnsi="Arial" w:cs="Arial"/>
        </w:rPr>
        <w:t>service delivery</w:t>
      </w:r>
      <w:proofErr w:type="gramEnd"/>
      <w:r w:rsidRPr="00C56DF1">
        <w:rPr>
          <w:rFonts w:ascii="Arial" w:eastAsia="Times New Roman" w:hAnsi="Arial" w:cs="Arial"/>
        </w:rPr>
        <w:t xml:space="preserve"> functions.</w:t>
      </w:r>
    </w:p>
    <w:p w14:paraId="338B81B9" w14:textId="07E5B255" w:rsidR="00766F6B"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The Executive Director is accountable to the Board for performance, fiscal management, and compliance. Program Managers and supervisory staff are responsible for implementing policies, monitoring program activity, and ensuring adherence to federal and state requirements.</w:t>
      </w:r>
      <w:r w:rsidR="002975E8">
        <w:rPr>
          <w:rFonts w:ascii="Arial" w:eastAsia="Times New Roman" w:hAnsi="Arial" w:cs="Arial"/>
        </w:rPr>
        <w:t xml:space="preserve"> </w:t>
      </w:r>
      <w:r w:rsidR="00766F6B" w:rsidRPr="00766F6B">
        <w:rPr>
          <w:rFonts w:ascii="Arial" w:hAnsi="Arial" w:cs="Arial"/>
        </w:rPr>
        <w:t>CSOW maintains written Local Operating Procedures (LOPs) governing fiscal, programmatic, and administrative functions.</w:t>
      </w:r>
    </w:p>
    <w:p w14:paraId="12991DDC" w14:textId="535B2117" w:rsidR="00C56DF1" w:rsidRPr="002975E8" w:rsidRDefault="00C56DF1" w:rsidP="002975E8">
      <w:pPr>
        <w:pStyle w:val="ListParagraph"/>
        <w:numPr>
          <w:ilvl w:val="0"/>
          <w:numId w:val="23"/>
        </w:numPr>
        <w:spacing w:before="100" w:beforeAutospacing="1" w:after="100" w:afterAutospacing="1" w:line="240" w:lineRule="auto"/>
        <w:outlineLvl w:val="1"/>
        <w:rPr>
          <w:rFonts w:ascii="Arial" w:eastAsia="Times New Roman" w:hAnsi="Arial" w:cs="Arial"/>
          <w:b/>
          <w:bCs/>
        </w:rPr>
      </w:pPr>
      <w:r w:rsidRPr="002975E8">
        <w:rPr>
          <w:rFonts w:ascii="Arial" w:eastAsia="Times New Roman" w:hAnsi="Arial" w:cs="Arial"/>
          <w:b/>
          <w:bCs/>
        </w:rPr>
        <w:t>Monitoring &amp; Quality Assurance</w:t>
      </w:r>
    </w:p>
    <w:p w14:paraId="171B4F3A"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CSOW conducts structured quarterly program monitoring within 60 days of each quarter-end to review:</w:t>
      </w:r>
    </w:p>
    <w:p w14:paraId="0DBB106E" w14:textId="77777777" w:rsidR="00C56DF1" w:rsidRPr="00C56DF1" w:rsidRDefault="00C56DF1" w:rsidP="002975E8">
      <w:pPr>
        <w:numPr>
          <w:ilvl w:val="0"/>
          <w:numId w:val="15"/>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Eligibility determinations</w:t>
      </w:r>
    </w:p>
    <w:p w14:paraId="5C7213D1" w14:textId="77777777" w:rsidR="00C56DF1" w:rsidRPr="00C56DF1" w:rsidRDefault="00C56DF1" w:rsidP="002975E8">
      <w:pPr>
        <w:numPr>
          <w:ilvl w:val="0"/>
          <w:numId w:val="15"/>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 xml:space="preserve">Allowable activities and </w:t>
      </w:r>
      <w:proofErr w:type="gramStart"/>
      <w:r w:rsidRPr="00C56DF1">
        <w:rPr>
          <w:rFonts w:ascii="Arial" w:eastAsia="Times New Roman" w:hAnsi="Arial" w:cs="Arial"/>
        </w:rPr>
        <w:t>sequencing</w:t>
      </w:r>
      <w:proofErr w:type="gramEnd"/>
    </w:p>
    <w:p w14:paraId="1F6F1A2F" w14:textId="77777777" w:rsidR="00C56DF1" w:rsidRPr="00C56DF1" w:rsidRDefault="00C56DF1" w:rsidP="002975E8">
      <w:pPr>
        <w:numPr>
          <w:ilvl w:val="0"/>
          <w:numId w:val="15"/>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Case documentation</w:t>
      </w:r>
    </w:p>
    <w:p w14:paraId="044C4E13" w14:textId="77777777" w:rsidR="00C56DF1" w:rsidRPr="00C56DF1" w:rsidRDefault="00C56DF1" w:rsidP="002975E8">
      <w:pPr>
        <w:numPr>
          <w:ilvl w:val="0"/>
          <w:numId w:val="15"/>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Fiscal compliance</w:t>
      </w:r>
    </w:p>
    <w:p w14:paraId="7E5BEFF0" w14:textId="77777777" w:rsidR="00C56DF1" w:rsidRPr="00C56DF1" w:rsidRDefault="00C56DF1" w:rsidP="002975E8">
      <w:pPr>
        <w:numPr>
          <w:ilvl w:val="0"/>
          <w:numId w:val="15"/>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Performance indicators</w:t>
      </w:r>
    </w:p>
    <w:p w14:paraId="2810BD81"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A peer monitoring approach is utilized to promote objectivity and consistency.</w:t>
      </w:r>
    </w:p>
    <w:p w14:paraId="0DBF0412" w14:textId="1A87CE1E"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Any identified findings or areas of non-compliance result in the development of a formal Monitoring Action Plan (MAP). Corrective actions remain in effect until deficiencies are fully resolved and verified.</w:t>
      </w:r>
    </w:p>
    <w:p w14:paraId="740BD691" w14:textId="1CC27F4A" w:rsidR="00C56DF1" w:rsidRPr="002975E8" w:rsidRDefault="00C56DF1" w:rsidP="002975E8">
      <w:pPr>
        <w:pStyle w:val="ListParagraph"/>
        <w:numPr>
          <w:ilvl w:val="0"/>
          <w:numId w:val="23"/>
        </w:numPr>
        <w:spacing w:before="100" w:beforeAutospacing="1" w:after="100" w:afterAutospacing="1" w:line="240" w:lineRule="auto"/>
        <w:outlineLvl w:val="1"/>
        <w:rPr>
          <w:rFonts w:ascii="Arial" w:eastAsia="Times New Roman" w:hAnsi="Arial" w:cs="Arial"/>
          <w:b/>
          <w:bCs/>
        </w:rPr>
      </w:pPr>
      <w:r w:rsidRPr="002975E8">
        <w:rPr>
          <w:rFonts w:ascii="Arial" w:eastAsia="Times New Roman" w:hAnsi="Arial" w:cs="Arial"/>
          <w:b/>
          <w:bCs/>
        </w:rPr>
        <w:t>Staff Training &amp; Compliance Controls</w:t>
      </w:r>
    </w:p>
    <w:p w14:paraId="05336314"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CSOW maintains a formal training and compliance framework to support oversight functions:</w:t>
      </w:r>
    </w:p>
    <w:p w14:paraId="1F6CA70C" w14:textId="77777777" w:rsidR="00C56DF1" w:rsidRPr="00C56DF1" w:rsidRDefault="00C56DF1" w:rsidP="002975E8">
      <w:pPr>
        <w:numPr>
          <w:ilvl w:val="0"/>
          <w:numId w:val="16"/>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Intensive Initial Training Program (ITP) for new frontline staff</w:t>
      </w:r>
    </w:p>
    <w:p w14:paraId="2651345A" w14:textId="77777777" w:rsidR="00C56DF1" w:rsidRPr="00C56DF1" w:rsidRDefault="00C56DF1" w:rsidP="002975E8">
      <w:pPr>
        <w:numPr>
          <w:ilvl w:val="0"/>
          <w:numId w:val="16"/>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Minimum of 15 hours of annual continuing education for all program staff</w:t>
      </w:r>
    </w:p>
    <w:p w14:paraId="145234FE" w14:textId="77777777" w:rsidR="00C56DF1" w:rsidRPr="00C56DF1" w:rsidRDefault="00C56DF1" w:rsidP="002975E8">
      <w:pPr>
        <w:numPr>
          <w:ilvl w:val="0"/>
          <w:numId w:val="16"/>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Regular policy updates and documented acknowledgment through the Policy Review and Acknowledgement Form (PRAF)</w:t>
      </w:r>
    </w:p>
    <w:p w14:paraId="30C7B503"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This structure ensures staff maintain current knowledge of WIOA regulations, state policy, and Local Operating Procedures (LOPs).</w:t>
      </w:r>
    </w:p>
    <w:p w14:paraId="305F3946" w14:textId="50F751FA" w:rsidR="00C56DF1" w:rsidRPr="002975E8" w:rsidRDefault="00C56DF1" w:rsidP="002975E8">
      <w:pPr>
        <w:pStyle w:val="ListParagraph"/>
        <w:numPr>
          <w:ilvl w:val="0"/>
          <w:numId w:val="23"/>
        </w:numPr>
        <w:spacing w:before="100" w:beforeAutospacing="1" w:after="100" w:afterAutospacing="1" w:line="240" w:lineRule="auto"/>
        <w:outlineLvl w:val="1"/>
        <w:rPr>
          <w:rFonts w:ascii="Arial" w:eastAsia="Times New Roman" w:hAnsi="Arial" w:cs="Arial"/>
          <w:b/>
          <w:bCs/>
        </w:rPr>
      </w:pPr>
      <w:r w:rsidRPr="002975E8">
        <w:rPr>
          <w:rFonts w:ascii="Arial" w:eastAsia="Times New Roman" w:hAnsi="Arial" w:cs="Arial"/>
          <w:b/>
          <w:bCs/>
        </w:rPr>
        <w:t>Internal Control Tools</w:t>
      </w:r>
    </w:p>
    <w:p w14:paraId="5024F664"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To reinforce accountability and timely compliance, CSOW utilizes:</w:t>
      </w:r>
    </w:p>
    <w:p w14:paraId="350D2A81" w14:textId="77777777" w:rsidR="00C56DF1" w:rsidRPr="00C56DF1" w:rsidRDefault="00C56DF1" w:rsidP="002975E8">
      <w:pPr>
        <w:numPr>
          <w:ilvl w:val="0"/>
          <w:numId w:val="17"/>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Monthly To-Do Timeline Projections developed by the Quality Assurance Manager (QAM)</w:t>
      </w:r>
    </w:p>
    <w:p w14:paraId="552457FA" w14:textId="77777777" w:rsidR="00C56DF1" w:rsidRPr="00C56DF1" w:rsidRDefault="00C56DF1" w:rsidP="002975E8">
      <w:pPr>
        <w:numPr>
          <w:ilvl w:val="0"/>
          <w:numId w:val="17"/>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Ongoing progress tracking and executive-level oversight</w:t>
      </w:r>
    </w:p>
    <w:p w14:paraId="6E4FE5BD" w14:textId="77777777" w:rsidR="00C56DF1" w:rsidRPr="00C56DF1" w:rsidRDefault="00C56DF1" w:rsidP="002975E8">
      <w:pPr>
        <w:numPr>
          <w:ilvl w:val="0"/>
          <w:numId w:val="17"/>
        </w:numPr>
        <w:tabs>
          <w:tab w:val="clear" w:pos="720"/>
          <w:tab w:val="num" w:pos="1080"/>
        </w:tabs>
        <w:spacing w:before="100" w:beforeAutospacing="1" w:after="100" w:afterAutospacing="1" w:line="240" w:lineRule="auto"/>
        <w:ind w:left="1080"/>
        <w:rPr>
          <w:rFonts w:ascii="Arial" w:eastAsia="Times New Roman" w:hAnsi="Arial" w:cs="Arial"/>
        </w:rPr>
      </w:pPr>
      <w:r w:rsidRPr="00C56DF1">
        <w:rPr>
          <w:rFonts w:ascii="Arial" w:eastAsia="Times New Roman" w:hAnsi="Arial" w:cs="Arial"/>
        </w:rPr>
        <w:t>Written Local Operating Procedures governing fiscal management, procurement, eligibility, case management, and performance reporting</w:t>
      </w:r>
    </w:p>
    <w:p w14:paraId="0A2D6E49" w14:textId="77777777" w:rsidR="00C56DF1" w:rsidRPr="00C56DF1" w:rsidRDefault="00C56DF1" w:rsidP="002975E8">
      <w:pPr>
        <w:spacing w:before="100" w:beforeAutospacing="1" w:after="100" w:afterAutospacing="1" w:line="240" w:lineRule="auto"/>
        <w:ind w:left="360"/>
        <w:rPr>
          <w:rFonts w:ascii="Arial" w:eastAsia="Times New Roman" w:hAnsi="Arial" w:cs="Arial"/>
        </w:rPr>
      </w:pPr>
      <w:r w:rsidRPr="00C56DF1">
        <w:rPr>
          <w:rFonts w:ascii="Arial" w:eastAsia="Times New Roman" w:hAnsi="Arial" w:cs="Arial"/>
        </w:rPr>
        <w:t>These controls ensure consistent implementation of policy, proper expenditure of funds, and defensible program outcomes.</w:t>
      </w:r>
    </w:p>
    <w:p w14:paraId="3CC58394" w14:textId="578FEA57" w:rsidR="00C56DF1" w:rsidRPr="002975E8" w:rsidRDefault="00C56DF1" w:rsidP="002975E8">
      <w:pPr>
        <w:pStyle w:val="ListParagraph"/>
        <w:numPr>
          <w:ilvl w:val="0"/>
          <w:numId w:val="19"/>
        </w:numPr>
        <w:spacing w:before="100" w:beforeAutospacing="1" w:after="100" w:afterAutospacing="1" w:line="240" w:lineRule="auto"/>
        <w:outlineLvl w:val="1"/>
        <w:rPr>
          <w:rFonts w:ascii="Arial" w:eastAsia="Times New Roman" w:hAnsi="Arial" w:cs="Arial"/>
          <w:b/>
          <w:bCs/>
        </w:rPr>
      </w:pPr>
      <w:r w:rsidRPr="00F637A1">
        <w:rPr>
          <w:rFonts w:ascii="Arial" w:eastAsia="Times New Roman" w:hAnsi="Arial" w:cs="Arial"/>
          <w:b/>
          <w:bCs/>
          <w:sz w:val="24"/>
          <w:szCs w:val="24"/>
        </w:rPr>
        <w:t>CONCLUSION</w:t>
      </w:r>
    </w:p>
    <w:p w14:paraId="00558D4D" w14:textId="77777777" w:rsidR="00C56DF1" w:rsidRPr="00C56DF1" w:rsidRDefault="00C56DF1" w:rsidP="00C56DF1">
      <w:pPr>
        <w:spacing w:before="100" w:beforeAutospacing="1" w:after="100" w:afterAutospacing="1" w:line="240" w:lineRule="auto"/>
        <w:rPr>
          <w:rFonts w:ascii="Arial" w:eastAsia="Times New Roman" w:hAnsi="Arial" w:cs="Arial"/>
        </w:rPr>
      </w:pPr>
      <w:r w:rsidRPr="00C56DF1">
        <w:rPr>
          <w:rFonts w:ascii="Arial" w:eastAsia="Times New Roman" w:hAnsi="Arial" w:cs="Arial"/>
        </w:rPr>
        <w:t>Program Year 2024–2025 results demonstrate that CareerSource Okaloosa Walton’s Direct Provider model continues to deliver measurable performance, fiscal efficiency, and strong internal oversight.</w:t>
      </w:r>
    </w:p>
    <w:p w14:paraId="6D1A6FDA" w14:textId="77777777" w:rsidR="00C56DF1" w:rsidRPr="00C56DF1" w:rsidRDefault="00C56DF1" w:rsidP="00C56DF1">
      <w:pPr>
        <w:spacing w:before="100" w:beforeAutospacing="1" w:after="100" w:afterAutospacing="1" w:line="240" w:lineRule="auto"/>
        <w:rPr>
          <w:rFonts w:ascii="Arial" w:eastAsia="Times New Roman" w:hAnsi="Arial" w:cs="Arial"/>
        </w:rPr>
      </w:pPr>
      <w:r w:rsidRPr="00C56DF1">
        <w:rPr>
          <w:rFonts w:ascii="Arial" w:eastAsia="Times New Roman" w:hAnsi="Arial" w:cs="Arial"/>
        </w:rPr>
        <w:t>CSOW achieved:</w:t>
      </w:r>
    </w:p>
    <w:p w14:paraId="2A41F6D5" w14:textId="77777777" w:rsidR="00C56DF1" w:rsidRPr="00C56DF1" w:rsidRDefault="00C56DF1" w:rsidP="00C56DF1">
      <w:pPr>
        <w:numPr>
          <w:ilvl w:val="0"/>
          <w:numId w:val="18"/>
        </w:numPr>
        <w:spacing w:before="100" w:beforeAutospacing="1" w:after="100" w:afterAutospacing="1" w:line="240" w:lineRule="auto"/>
        <w:rPr>
          <w:rFonts w:ascii="Arial" w:eastAsia="Times New Roman" w:hAnsi="Arial" w:cs="Arial"/>
        </w:rPr>
      </w:pPr>
      <w:r w:rsidRPr="00C56DF1">
        <w:rPr>
          <w:rFonts w:ascii="Arial" w:eastAsia="Times New Roman" w:hAnsi="Arial" w:cs="Arial"/>
        </w:rPr>
        <w:t>Approximately $250,000 in annual cost savings</w:t>
      </w:r>
    </w:p>
    <w:p w14:paraId="3FA71C2D" w14:textId="6805B1AD" w:rsidR="00C56DF1" w:rsidRPr="00C56DF1" w:rsidRDefault="00766F6B" w:rsidP="00C56DF1">
      <w:pPr>
        <w:numPr>
          <w:ilvl w:val="0"/>
          <w:numId w:val="18"/>
        </w:numPr>
        <w:spacing w:before="100" w:beforeAutospacing="1" w:after="100" w:afterAutospacing="1" w:line="240" w:lineRule="auto"/>
        <w:rPr>
          <w:rFonts w:ascii="Arial" w:eastAsia="Times New Roman" w:hAnsi="Arial" w:cs="Arial"/>
        </w:rPr>
      </w:pPr>
      <w:r>
        <w:rPr>
          <w:rFonts w:ascii="Arial" w:eastAsia="Times New Roman" w:hAnsi="Arial" w:cs="Arial"/>
        </w:rPr>
        <w:t>94</w:t>
      </w:r>
      <w:r w:rsidR="00C56DF1" w:rsidRPr="00C56DF1">
        <w:rPr>
          <w:rFonts w:ascii="Arial" w:eastAsia="Times New Roman" w:hAnsi="Arial" w:cs="Arial"/>
        </w:rPr>
        <w:t>% of federal performance measures met or exceeded</w:t>
      </w:r>
    </w:p>
    <w:p w14:paraId="08F0B92D" w14:textId="77777777" w:rsidR="00C56DF1" w:rsidRPr="00C56DF1" w:rsidRDefault="00C56DF1" w:rsidP="00C56DF1">
      <w:pPr>
        <w:numPr>
          <w:ilvl w:val="0"/>
          <w:numId w:val="18"/>
        </w:numPr>
        <w:spacing w:before="100" w:beforeAutospacing="1" w:after="100" w:afterAutospacing="1" w:line="240" w:lineRule="auto"/>
        <w:rPr>
          <w:rFonts w:ascii="Arial" w:eastAsia="Times New Roman" w:hAnsi="Arial" w:cs="Arial"/>
        </w:rPr>
      </w:pPr>
      <w:r w:rsidRPr="00C56DF1">
        <w:rPr>
          <w:rFonts w:ascii="Arial" w:eastAsia="Times New Roman" w:hAnsi="Arial" w:cs="Arial"/>
        </w:rPr>
        <w:t>100% performance in key Dislocated Worker indicators</w:t>
      </w:r>
    </w:p>
    <w:p w14:paraId="15FCAA20" w14:textId="77777777" w:rsidR="00C56DF1" w:rsidRPr="00C56DF1" w:rsidRDefault="00C56DF1" w:rsidP="00C56DF1">
      <w:pPr>
        <w:numPr>
          <w:ilvl w:val="0"/>
          <w:numId w:val="18"/>
        </w:numPr>
        <w:spacing w:before="100" w:beforeAutospacing="1" w:after="100" w:afterAutospacing="1" w:line="240" w:lineRule="auto"/>
        <w:rPr>
          <w:rFonts w:ascii="Arial" w:eastAsia="Times New Roman" w:hAnsi="Arial" w:cs="Arial"/>
        </w:rPr>
      </w:pPr>
      <w:r w:rsidRPr="00C56DF1">
        <w:rPr>
          <w:rFonts w:ascii="Arial" w:eastAsia="Times New Roman" w:hAnsi="Arial" w:cs="Arial"/>
        </w:rPr>
        <w:t>Improved Youth employment and credential outcomes</w:t>
      </w:r>
    </w:p>
    <w:p w14:paraId="191738A3" w14:textId="77777777" w:rsidR="00C56DF1" w:rsidRPr="00C56DF1" w:rsidRDefault="00C56DF1" w:rsidP="00C56DF1">
      <w:pPr>
        <w:numPr>
          <w:ilvl w:val="0"/>
          <w:numId w:val="18"/>
        </w:numPr>
        <w:spacing w:before="100" w:beforeAutospacing="1" w:after="100" w:afterAutospacing="1" w:line="240" w:lineRule="auto"/>
        <w:rPr>
          <w:rFonts w:ascii="Arial" w:eastAsia="Times New Roman" w:hAnsi="Arial" w:cs="Arial"/>
        </w:rPr>
      </w:pPr>
      <w:proofErr w:type="gramStart"/>
      <w:r w:rsidRPr="00C56DF1">
        <w:rPr>
          <w:rFonts w:ascii="Arial" w:eastAsia="Times New Roman" w:hAnsi="Arial" w:cs="Arial"/>
        </w:rPr>
        <w:t>An A</w:t>
      </w:r>
      <w:proofErr w:type="gramEnd"/>
      <w:r w:rsidRPr="00C56DF1">
        <w:rPr>
          <w:rFonts w:ascii="Arial" w:eastAsia="Times New Roman" w:hAnsi="Arial" w:cs="Arial"/>
        </w:rPr>
        <w:t xml:space="preserve"> grade under Florida’s REACH Act</w:t>
      </w:r>
    </w:p>
    <w:p w14:paraId="2AE482BC" w14:textId="77777777" w:rsidR="00C56DF1" w:rsidRPr="00C56DF1" w:rsidRDefault="00C56DF1" w:rsidP="00C56DF1">
      <w:pPr>
        <w:numPr>
          <w:ilvl w:val="0"/>
          <w:numId w:val="18"/>
        </w:numPr>
        <w:spacing w:before="100" w:beforeAutospacing="1" w:after="100" w:afterAutospacing="1" w:line="240" w:lineRule="auto"/>
        <w:rPr>
          <w:rFonts w:ascii="Arial" w:eastAsia="Times New Roman" w:hAnsi="Arial" w:cs="Arial"/>
        </w:rPr>
      </w:pPr>
      <w:r w:rsidRPr="00C56DF1">
        <w:rPr>
          <w:rFonts w:ascii="Arial" w:eastAsia="Times New Roman" w:hAnsi="Arial" w:cs="Arial"/>
        </w:rPr>
        <w:t xml:space="preserve">A </w:t>
      </w:r>
      <w:proofErr w:type="gramStart"/>
      <w:r w:rsidRPr="00C56DF1">
        <w:rPr>
          <w:rFonts w:ascii="Arial" w:eastAsia="Times New Roman" w:hAnsi="Arial" w:cs="Arial"/>
        </w:rPr>
        <w:t>top-seven</w:t>
      </w:r>
      <w:proofErr w:type="gramEnd"/>
      <w:r w:rsidRPr="00C56DF1">
        <w:rPr>
          <w:rFonts w:ascii="Arial" w:eastAsia="Times New Roman" w:hAnsi="Arial" w:cs="Arial"/>
        </w:rPr>
        <w:t xml:space="preserve"> statewide ranking among workforce development boards</w:t>
      </w:r>
    </w:p>
    <w:p w14:paraId="1B781EA5" w14:textId="77777777" w:rsidR="00C56DF1" w:rsidRPr="00C56DF1" w:rsidRDefault="00C56DF1" w:rsidP="00C56DF1">
      <w:pPr>
        <w:spacing w:before="100" w:beforeAutospacing="1" w:after="100" w:afterAutospacing="1" w:line="240" w:lineRule="auto"/>
        <w:rPr>
          <w:rFonts w:ascii="Arial" w:eastAsia="Times New Roman" w:hAnsi="Arial" w:cs="Arial"/>
        </w:rPr>
      </w:pPr>
      <w:r w:rsidRPr="00C56DF1">
        <w:rPr>
          <w:rFonts w:ascii="Arial" w:eastAsia="Times New Roman" w:hAnsi="Arial" w:cs="Arial"/>
        </w:rPr>
        <w:t>In addition, CSOW was recognized as one of only five boards statewide to receive the Purple Star Workforce Board designation in Program Year 2024–2025, and subsequently the only board statewide to earn the designation in Program Year 2025–2026. These recognitions reflect sustained excellence in serving military members, veterans, and military-connected families.</w:t>
      </w:r>
    </w:p>
    <w:p w14:paraId="6A3C6A31" w14:textId="77777777" w:rsidR="00C56DF1" w:rsidRPr="00C56DF1" w:rsidRDefault="00C56DF1" w:rsidP="00C56DF1">
      <w:pPr>
        <w:spacing w:before="100" w:beforeAutospacing="1" w:after="100" w:afterAutospacing="1" w:line="240" w:lineRule="auto"/>
        <w:rPr>
          <w:rFonts w:ascii="Arial" w:eastAsia="Times New Roman" w:hAnsi="Arial" w:cs="Arial"/>
        </w:rPr>
      </w:pPr>
      <w:r w:rsidRPr="00C56DF1">
        <w:rPr>
          <w:rFonts w:ascii="Arial" w:eastAsia="Times New Roman" w:hAnsi="Arial" w:cs="Arial"/>
        </w:rPr>
        <w:t>Through structured oversight, documented internal controls, and continuous process improvement, CareerSource Okaloosa Walton remains fully compliant with WIOA and state requirements while delivering high-quality workforce services tailored to the needs of our region.</w:t>
      </w:r>
    </w:p>
    <w:p w14:paraId="2C4BC272" w14:textId="490DB29E" w:rsidR="00F31A4F" w:rsidRPr="00766F6B" w:rsidRDefault="00766F6B" w:rsidP="00C56DF1">
      <w:pPr>
        <w:pStyle w:val="Heading2"/>
        <w:rPr>
          <w:rFonts w:ascii="Arial" w:hAnsi="Arial" w:cs="Arial"/>
          <w:b w:val="0"/>
          <w:bCs w:val="0"/>
          <w:color w:val="000000" w:themeColor="text1"/>
          <w:sz w:val="22"/>
          <w:szCs w:val="22"/>
        </w:rPr>
      </w:pPr>
      <w:r w:rsidRPr="00766F6B">
        <w:rPr>
          <w:rFonts w:ascii="Arial" w:hAnsi="Arial" w:cs="Arial"/>
          <w:b w:val="0"/>
          <w:bCs w:val="0"/>
          <w:color w:val="000000" w:themeColor="text1"/>
          <w:sz w:val="22"/>
          <w:szCs w:val="22"/>
        </w:rPr>
        <w:t>CareerSource Okaloosa Walton respectfully requests continued approval as a Direct Provider of Workforce Services for the upcoming three-year designation period.</w:t>
      </w:r>
    </w:p>
    <w:sectPr w:rsidR="00F31A4F" w:rsidRPr="00766F6B"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6ADC" w14:textId="77777777" w:rsidR="003C352B" w:rsidRDefault="003C352B" w:rsidP="002975E8">
      <w:pPr>
        <w:spacing w:after="0" w:line="240" w:lineRule="auto"/>
      </w:pPr>
      <w:r>
        <w:separator/>
      </w:r>
    </w:p>
  </w:endnote>
  <w:endnote w:type="continuationSeparator" w:id="0">
    <w:p w14:paraId="1E07B134" w14:textId="77777777" w:rsidR="003C352B" w:rsidRDefault="003C352B" w:rsidP="0029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C841" w14:textId="77777777" w:rsidR="002975E8" w:rsidRDefault="002975E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A522D5C" w14:textId="77777777" w:rsidR="002975E8" w:rsidRDefault="0029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EE37" w14:textId="77777777" w:rsidR="003C352B" w:rsidRDefault="003C352B" w:rsidP="002975E8">
      <w:pPr>
        <w:spacing w:after="0" w:line="240" w:lineRule="auto"/>
      </w:pPr>
      <w:r>
        <w:separator/>
      </w:r>
    </w:p>
  </w:footnote>
  <w:footnote w:type="continuationSeparator" w:id="0">
    <w:p w14:paraId="7792B3C1" w14:textId="77777777" w:rsidR="003C352B" w:rsidRDefault="003C352B" w:rsidP="0029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le"/>
      <w:tag w:val=""/>
      <w:id w:val="1116400235"/>
      <w:placeholder>
        <w:docPart w:val="3D0E6C7965C6449CAC537DB074F7E023"/>
      </w:placeholder>
      <w:dataBinding w:prefixMappings="xmlns:ns0='http://purl.org/dc/elements/1.1/' xmlns:ns1='http://schemas.openxmlformats.org/package/2006/metadata/core-properties' " w:xpath="/ns1:coreProperties[1]/ns0:title[1]" w:storeItemID="{6C3C8BC8-F283-45AE-878A-BAB7291924A1}"/>
      <w:text/>
    </w:sdtPr>
    <w:sdtEndPr/>
    <w:sdtContent>
      <w:p w14:paraId="1FDA1789" w14:textId="07A0FA92" w:rsidR="002975E8" w:rsidRDefault="002975E8">
        <w:pPr>
          <w:pStyle w:val="Header"/>
          <w:tabs>
            <w:tab w:val="clear" w:pos="4680"/>
            <w:tab w:val="clear" w:pos="9360"/>
          </w:tabs>
          <w:jc w:val="right"/>
          <w:rPr>
            <w:color w:val="7F7F7F" w:themeColor="text1" w:themeTint="80"/>
          </w:rPr>
        </w:pPr>
        <w:r>
          <w:rPr>
            <w:color w:val="7F7F7F" w:themeColor="text1" w:themeTint="80"/>
          </w:rPr>
          <w:t>CSOW Direct Service Provider Designation</w:t>
        </w:r>
      </w:p>
    </w:sdtContent>
  </w:sdt>
  <w:p w14:paraId="089D7BB3" w14:textId="77777777" w:rsidR="002975E8" w:rsidRDefault="00297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8674F"/>
    <w:multiLevelType w:val="hybridMultilevel"/>
    <w:tmpl w:val="B65218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857770"/>
    <w:multiLevelType w:val="hybridMultilevel"/>
    <w:tmpl w:val="DE4E1AB8"/>
    <w:lvl w:ilvl="0" w:tplc="C88A1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6D6EE7"/>
    <w:multiLevelType w:val="hybridMultilevel"/>
    <w:tmpl w:val="875E839C"/>
    <w:lvl w:ilvl="0" w:tplc="3A6CA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D52EE"/>
    <w:multiLevelType w:val="hybridMultilevel"/>
    <w:tmpl w:val="FB6C288A"/>
    <w:lvl w:ilvl="0" w:tplc="9D9AB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C70C9"/>
    <w:multiLevelType w:val="multilevel"/>
    <w:tmpl w:val="C8668CE0"/>
    <w:lvl w:ilvl="0">
      <w:start w:val="1"/>
      <w:numFmt w:val="decimal"/>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B6E01E1"/>
    <w:multiLevelType w:val="multilevel"/>
    <w:tmpl w:val="8BCE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A67B5"/>
    <w:multiLevelType w:val="multilevel"/>
    <w:tmpl w:val="96BE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444AD"/>
    <w:multiLevelType w:val="multilevel"/>
    <w:tmpl w:val="D0D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82DAF"/>
    <w:multiLevelType w:val="multilevel"/>
    <w:tmpl w:val="82625A8E"/>
    <w:lvl w:ilvl="0">
      <w:start w:val="1"/>
      <w:numFmt w:val="decimal"/>
      <w:lvlText w:val="(%1)"/>
      <w:lvlJc w:val="left"/>
      <w:pPr>
        <w:tabs>
          <w:tab w:val="num" w:pos="1710"/>
        </w:tabs>
        <w:ind w:left="1710" w:hanging="360"/>
      </w:pPr>
      <w:rPr>
        <w:rFonts w:ascii="Times New Roman" w:eastAsia="Times New Roman" w:hAnsi="Times New Roman" w:cs="Times New Roman"/>
      </w:rPr>
    </w:lvl>
    <w:lvl w:ilvl="1" w:tentative="1">
      <w:start w:val="1"/>
      <w:numFmt w:val="decimal"/>
      <w:lvlText w:val="%2."/>
      <w:lvlJc w:val="left"/>
      <w:pPr>
        <w:tabs>
          <w:tab w:val="num" w:pos="2430"/>
        </w:tabs>
        <w:ind w:left="2430" w:hanging="360"/>
      </w:p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18" w15:restartNumberingAfterBreak="0">
    <w:nsid w:val="55C6487A"/>
    <w:multiLevelType w:val="hybridMultilevel"/>
    <w:tmpl w:val="D23CF12E"/>
    <w:lvl w:ilvl="0" w:tplc="BD18CF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CF331E"/>
    <w:multiLevelType w:val="multilevel"/>
    <w:tmpl w:val="6620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B5EEE"/>
    <w:multiLevelType w:val="multilevel"/>
    <w:tmpl w:val="C8668CE0"/>
    <w:lvl w:ilvl="0">
      <w:start w:val="1"/>
      <w:numFmt w:val="decimal"/>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6D71453E"/>
    <w:multiLevelType w:val="hybridMultilevel"/>
    <w:tmpl w:val="D9A4EDC6"/>
    <w:lvl w:ilvl="0" w:tplc="D7C07D38">
      <w:start w:val="1"/>
      <w:numFmt w:val="decimal"/>
      <w:lvlText w:val="%1."/>
      <w:lvlJc w:val="left"/>
      <w:pPr>
        <w:ind w:left="492" w:hanging="360"/>
      </w:pPr>
      <w:rPr>
        <w:rFonts w:hint="default"/>
        <w:b w:val="0"/>
        <w:bCs/>
        <w:color w:val="16181C"/>
      </w:rPr>
    </w:lvl>
    <w:lvl w:ilvl="1" w:tplc="49B04A62">
      <w:start w:val="1"/>
      <w:numFmt w:val="lowerLetter"/>
      <w:lvlText w:val="%2."/>
      <w:lvlJc w:val="left"/>
      <w:pPr>
        <w:ind w:left="1212" w:hanging="360"/>
      </w:pPr>
      <w:rPr>
        <w:b w:val="0"/>
        <w:bCs w:val="0"/>
        <w:sz w:val="24"/>
        <w:szCs w:val="24"/>
      </w:rPr>
    </w:lvl>
    <w:lvl w:ilvl="2" w:tplc="053ABC78">
      <w:start w:val="1"/>
      <w:numFmt w:val="decimal"/>
      <w:lvlText w:val="(%3)"/>
      <w:lvlJc w:val="left"/>
      <w:pPr>
        <w:ind w:left="2112" w:hanging="360"/>
      </w:pPr>
      <w:rPr>
        <w:rFonts w:hint="default"/>
      </w:rPr>
    </w:lvl>
    <w:lvl w:ilvl="3" w:tplc="B56C5CB6">
      <w:start w:val="1"/>
      <w:numFmt w:val="decimal"/>
      <w:lvlText w:val="(%4)"/>
      <w:lvlJc w:val="left"/>
      <w:pPr>
        <w:ind w:left="2652" w:hanging="360"/>
      </w:pPr>
      <w:rPr>
        <w:rFonts w:hint="default"/>
      </w:rPr>
    </w:lvl>
    <w:lvl w:ilvl="4" w:tplc="04090019">
      <w:start w:val="1"/>
      <w:numFmt w:val="lowerLetter"/>
      <w:lvlText w:val="%5."/>
      <w:lvlJc w:val="left"/>
      <w:pPr>
        <w:ind w:left="360" w:hanging="360"/>
      </w:pPr>
    </w:lvl>
    <w:lvl w:ilvl="5" w:tplc="0409001B">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2" w15:restartNumberingAfterBreak="0">
    <w:nsid w:val="72976D56"/>
    <w:multiLevelType w:val="multilevel"/>
    <w:tmpl w:val="72FA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736047">
    <w:abstractNumId w:val="8"/>
  </w:num>
  <w:num w:numId="2" w16cid:durableId="806896958">
    <w:abstractNumId w:val="6"/>
  </w:num>
  <w:num w:numId="3" w16cid:durableId="393428110">
    <w:abstractNumId w:val="5"/>
  </w:num>
  <w:num w:numId="4" w16cid:durableId="24907262">
    <w:abstractNumId w:val="4"/>
  </w:num>
  <w:num w:numId="5" w16cid:durableId="777019575">
    <w:abstractNumId w:val="7"/>
  </w:num>
  <w:num w:numId="6" w16cid:durableId="1523738746">
    <w:abstractNumId w:val="3"/>
  </w:num>
  <w:num w:numId="7" w16cid:durableId="991981193">
    <w:abstractNumId w:val="2"/>
  </w:num>
  <w:num w:numId="8" w16cid:durableId="1176534384">
    <w:abstractNumId w:val="1"/>
  </w:num>
  <w:num w:numId="9" w16cid:durableId="1396507689">
    <w:abstractNumId w:val="0"/>
  </w:num>
  <w:num w:numId="10" w16cid:durableId="1281187907">
    <w:abstractNumId w:val="17"/>
  </w:num>
  <w:num w:numId="11" w16cid:durableId="497232224">
    <w:abstractNumId w:val="13"/>
  </w:num>
  <w:num w:numId="12" w16cid:durableId="1295257482">
    <w:abstractNumId w:val="21"/>
  </w:num>
  <w:num w:numId="13" w16cid:durableId="2100519174">
    <w:abstractNumId w:val="20"/>
  </w:num>
  <w:num w:numId="14" w16cid:durableId="1145274014">
    <w:abstractNumId w:val="15"/>
  </w:num>
  <w:num w:numId="15" w16cid:durableId="1066762130">
    <w:abstractNumId w:val="22"/>
  </w:num>
  <w:num w:numId="16" w16cid:durableId="1320302912">
    <w:abstractNumId w:val="19"/>
  </w:num>
  <w:num w:numId="17" w16cid:durableId="197008424">
    <w:abstractNumId w:val="14"/>
  </w:num>
  <w:num w:numId="18" w16cid:durableId="762646752">
    <w:abstractNumId w:val="16"/>
  </w:num>
  <w:num w:numId="19" w16cid:durableId="396633453">
    <w:abstractNumId w:val="9"/>
  </w:num>
  <w:num w:numId="20" w16cid:durableId="1836457724">
    <w:abstractNumId w:val="12"/>
  </w:num>
  <w:num w:numId="21" w16cid:durableId="1267612664">
    <w:abstractNumId w:val="18"/>
  </w:num>
  <w:num w:numId="22" w16cid:durableId="697586610">
    <w:abstractNumId w:val="11"/>
  </w:num>
  <w:num w:numId="23" w16cid:durableId="2048407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772"/>
    <w:rsid w:val="0015074B"/>
    <w:rsid w:val="001C3B1B"/>
    <w:rsid w:val="00293870"/>
    <w:rsid w:val="0029639D"/>
    <w:rsid w:val="002975E8"/>
    <w:rsid w:val="00326F90"/>
    <w:rsid w:val="00330AAA"/>
    <w:rsid w:val="003C352B"/>
    <w:rsid w:val="003D1C8E"/>
    <w:rsid w:val="00534576"/>
    <w:rsid w:val="006075C7"/>
    <w:rsid w:val="00630B32"/>
    <w:rsid w:val="00766F6B"/>
    <w:rsid w:val="009005DD"/>
    <w:rsid w:val="00AA1D8D"/>
    <w:rsid w:val="00B47730"/>
    <w:rsid w:val="00B6671D"/>
    <w:rsid w:val="00B80C55"/>
    <w:rsid w:val="00C56DF1"/>
    <w:rsid w:val="00CB0664"/>
    <w:rsid w:val="00F31A4F"/>
    <w:rsid w:val="00F637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76E26"/>
  <w14:defaultImageDpi w14:val="300"/>
  <w15:docId w15:val="{A607AE62-9980-4217-9478-F7A27118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56D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3870"/>
    <w:rPr>
      <w:color w:val="0000FF" w:themeColor="hyperlink"/>
      <w:u w:val="single"/>
    </w:rPr>
  </w:style>
  <w:style w:type="character" w:styleId="UnresolvedMention">
    <w:name w:val="Unresolved Mention"/>
    <w:basedOn w:val="DefaultParagraphFont"/>
    <w:uiPriority w:val="99"/>
    <w:semiHidden/>
    <w:unhideWhenUsed/>
    <w:rsid w:val="00293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urns@careersourceow.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burns@careersourceow.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E6C7965C6449CAC537DB074F7E023"/>
        <w:category>
          <w:name w:val="General"/>
          <w:gallery w:val="placeholder"/>
        </w:category>
        <w:types>
          <w:type w:val="bbPlcHdr"/>
        </w:types>
        <w:behaviors>
          <w:behavior w:val="content"/>
        </w:behaviors>
        <w:guid w:val="{B7BA6527-A4EC-4D2A-879E-1EED161657C5}"/>
      </w:docPartPr>
      <w:docPartBody>
        <w:p w:rsidR="00972DC9" w:rsidRDefault="001504F3" w:rsidP="001504F3">
          <w:pPr>
            <w:pStyle w:val="3D0E6C7965C6449CAC537DB074F7E02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F3"/>
    <w:rsid w:val="00043038"/>
    <w:rsid w:val="00087772"/>
    <w:rsid w:val="001504F3"/>
    <w:rsid w:val="00972DC9"/>
    <w:rsid w:val="00B8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0E6C7965C6449CAC537DB074F7E023">
    <w:name w:val="3D0E6C7965C6449CAC537DB074F7E023"/>
    <w:rsid w:val="00150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2143</Words>
  <Characters>12220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CSOW Direct Service Provider Designation</dc:title>
  <dc:subject/>
  <dc:creator>python-docx</dc:creator>
  <cp:keywords/>
  <dc:description>generated by python-docx</dc:description>
  <cp:lastModifiedBy>Emmy Epperson</cp:lastModifiedBy>
  <cp:revision>2</cp:revision>
  <cp:lastPrinted>2026-02-26T19:48:00Z</cp:lastPrinted>
  <dcterms:created xsi:type="dcterms:W3CDTF">2026-02-26T20:32:00Z</dcterms:created>
  <dcterms:modified xsi:type="dcterms:W3CDTF">2026-02-26T20:32:00Z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d1d87534-2c4f-4941-865d-08ee2bee1b21</vt:lpwstr>
  </property>
</Properties>
</file>